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2" w:rsidRPr="00700B28" w:rsidRDefault="007C5552" w:rsidP="00384BEB">
      <w:pPr>
        <w:tabs>
          <w:tab w:val="left" w:pos="9923"/>
        </w:tabs>
        <w:spacing w:after="0" w:line="240" w:lineRule="auto"/>
        <w:ind w:left="-1531" w:right="312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700B28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620000" cy="1971675"/>
            <wp:effectExtent l="19050" t="0" r="0" b="0"/>
            <wp:docPr id="1" name="Рисунок 1" descr="733a89f-simeiniy-li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3a89f-simeiniy-lik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52" w:rsidRDefault="007C5552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DC08E4" w:rsidRDefault="00DC08E4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right="28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bCs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bCs/>
          <w:sz w:val="40"/>
          <w:szCs w:val="24"/>
          <w:lang w:val="uk-UA"/>
        </w:rPr>
        <w:t>ПОЯСНЮВАЛЬНА ЗАПИСКА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 xml:space="preserve">ДО ЗВІТУ ПРО ВИКОНАННЯ ФІНАНСОВОГО ПЛАНУ ЗА </w:t>
      </w:r>
      <w:r w:rsidR="007855DA">
        <w:rPr>
          <w:rFonts w:ascii="Times New Roman" w:hAnsi="Times New Roman" w:cs="Times New Roman"/>
          <w:b/>
          <w:sz w:val="40"/>
          <w:szCs w:val="24"/>
          <w:lang w:val="en-US"/>
        </w:rPr>
        <w:t>IV</w:t>
      </w:r>
      <w:r w:rsidR="007855DA">
        <w:rPr>
          <w:rFonts w:ascii="Times New Roman" w:hAnsi="Times New Roman" w:cs="Times New Roman"/>
          <w:b/>
          <w:sz w:val="40"/>
          <w:szCs w:val="24"/>
          <w:lang w:val="uk-UA"/>
        </w:rPr>
        <w:t xml:space="preserve"> КВАРТАЛ</w:t>
      </w:r>
      <w:r w:rsidR="007855DA" w:rsidRPr="007855DA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CD3A7C">
        <w:rPr>
          <w:rFonts w:ascii="Times New Roman" w:hAnsi="Times New Roman" w:cs="Times New Roman"/>
          <w:b/>
          <w:sz w:val="40"/>
          <w:szCs w:val="24"/>
          <w:lang w:val="uk-UA"/>
        </w:rPr>
        <w:t>2021 РІК</w:t>
      </w:r>
    </w:p>
    <w:p w:rsidR="007C5552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DC08E4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КОМУНАЛЬН</w:t>
      </w:r>
      <w:r w:rsidR="00DC08E4">
        <w:rPr>
          <w:rFonts w:ascii="Times New Roman" w:hAnsi="Times New Roman" w:cs="Times New Roman"/>
          <w:b/>
          <w:sz w:val="40"/>
          <w:szCs w:val="24"/>
          <w:lang w:val="uk-UA"/>
        </w:rPr>
        <w:t>ОГО НЕКОМЕРЦІЙНОГО ПІДПРИЄМСТВА</w:t>
      </w:r>
    </w:p>
    <w:p w:rsidR="00DC08E4" w:rsidRDefault="007C5552" w:rsidP="00384BEB">
      <w:pPr>
        <w:tabs>
          <w:tab w:val="left" w:pos="9923"/>
        </w:tabs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«НІЖИНСЬКА ЦЕНТРАЛЬНА РАЙОННА ЛІКАРНЯ»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left="-993" w:right="-284" w:firstLine="851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>НІЖИНСЬКОЇ РАЙОННОЇ РАДИ ЧЕРНІГІВСЬКОЇ ОБЛАСТІ</w:t>
      </w: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Pr="00700B28" w:rsidRDefault="008E53B8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7C5552" w:rsidRPr="00700B2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</w:p>
    <w:p w:rsidR="008E53B8" w:rsidRDefault="007C5552" w:rsidP="00384BEB">
      <w:pPr>
        <w:tabs>
          <w:tab w:val="left" w:pos="9923"/>
        </w:tabs>
        <w:spacing w:after="0" w:line="240" w:lineRule="auto"/>
        <w:ind w:right="312" w:firstLine="567"/>
        <w:contextualSpacing/>
        <w:jc w:val="center"/>
        <w:rPr>
          <w:rFonts w:ascii="Times New Roman" w:hAnsi="Times New Roman" w:cs="Times New Roman"/>
          <w:b/>
          <w:sz w:val="40"/>
          <w:szCs w:val="24"/>
          <w:lang w:val="uk-UA"/>
        </w:rPr>
      </w:pPr>
      <w:r w:rsidRPr="00700B28">
        <w:rPr>
          <w:rFonts w:ascii="Times New Roman" w:hAnsi="Times New Roman" w:cs="Times New Roman"/>
          <w:b/>
          <w:sz w:val="40"/>
          <w:szCs w:val="24"/>
          <w:lang w:val="uk-UA"/>
        </w:rPr>
        <w:t xml:space="preserve">НІЖИН </w:t>
      </w:r>
    </w:p>
    <w:p w:rsidR="008E53B8" w:rsidRDefault="008E53B8">
      <w:pPr>
        <w:rPr>
          <w:rFonts w:ascii="Times New Roman" w:hAnsi="Times New Roman" w:cs="Times New Roman"/>
          <w:b/>
          <w:sz w:val="40"/>
          <w:szCs w:val="24"/>
          <w:lang w:val="uk-UA"/>
        </w:rPr>
      </w:pPr>
      <w:r>
        <w:rPr>
          <w:rFonts w:ascii="Times New Roman" w:hAnsi="Times New Roman" w:cs="Times New Roman"/>
          <w:b/>
          <w:sz w:val="40"/>
          <w:szCs w:val="24"/>
          <w:lang w:val="uk-UA"/>
        </w:rPr>
        <w:br w:type="page"/>
      </w:r>
    </w:p>
    <w:p w:rsidR="00DC08E4" w:rsidRDefault="00DC08E4" w:rsidP="00384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2A02" w:rsidRDefault="007C5552" w:rsidP="00384BEB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фінансового плану 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5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855DA" w:rsidRPr="007855D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>складено на підставі фінансового плану</w:t>
      </w:r>
      <w:r w:rsidR="00700B28" w:rsidRPr="00700B28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 xml:space="preserve"> комунального некомерційного підприємства «Ніжинська центральна районна лікарня»</w:t>
      </w:r>
      <w:r w:rsidR="00DC08E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 на 2021 рік, 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погодженого Начальником фінансового управління Ніжинської районної державної адміністрації С. </w:t>
      </w:r>
      <w:proofErr w:type="spellStart"/>
      <w:r w:rsidR="00DC08E4">
        <w:rPr>
          <w:rFonts w:ascii="Times New Roman" w:hAnsi="Times New Roman" w:cs="Times New Roman"/>
          <w:sz w:val="28"/>
          <w:szCs w:val="28"/>
          <w:lang w:val="uk-UA"/>
        </w:rPr>
        <w:t>Алемша</w:t>
      </w:r>
      <w:proofErr w:type="spellEnd"/>
      <w:r w:rsidR="00DC08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00B2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DC08E4">
        <w:rPr>
          <w:rFonts w:ascii="Times New Roman" w:hAnsi="Times New Roman" w:cs="Times New Roman"/>
          <w:sz w:val="28"/>
          <w:szCs w:val="28"/>
          <w:lang w:val="uk-UA"/>
        </w:rPr>
        <w:t>Головою Ніжинської районної державної адміністрації  Г.Ковтуном від 19 листопада 2020 року</w:t>
      </w:r>
      <w:r w:rsidR="00F476DC" w:rsidRPr="00F47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76DC">
        <w:rPr>
          <w:rFonts w:ascii="Times New Roman" w:hAnsi="Times New Roman" w:cs="Times New Roman"/>
          <w:sz w:val="28"/>
          <w:szCs w:val="28"/>
          <w:lang w:val="uk-UA"/>
        </w:rPr>
        <w:t>та змін до нього від 19.03.2021 року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, 18.06.2021 року, 03.12.2021</w:t>
      </w:r>
    </w:p>
    <w:p w:rsidR="00DC08E4" w:rsidRPr="00700B28" w:rsidRDefault="00DC08E4" w:rsidP="00384B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0B28" w:rsidRPr="003322F6" w:rsidRDefault="00700B28" w:rsidP="00384BEB">
      <w:pPr>
        <w:pStyle w:val="a3"/>
        <w:numPr>
          <w:ilvl w:val="0"/>
          <w:numId w:val="7"/>
        </w:numPr>
        <w:tabs>
          <w:tab w:val="left" w:pos="0"/>
          <w:tab w:val="left" w:pos="9498"/>
        </w:tabs>
        <w:suppressAutoHyphens/>
        <w:spacing w:after="0" w:line="240" w:lineRule="auto"/>
        <w:ind w:right="737"/>
        <w:jc w:val="center"/>
        <w:rPr>
          <w:rFonts w:ascii="Times New Roman" w:hAnsi="Times New Roman"/>
          <w:b/>
          <w:i/>
          <w:sz w:val="28"/>
          <w:szCs w:val="24"/>
        </w:rPr>
      </w:pPr>
      <w:r w:rsidRPr="003322F6">
        <w:rPr>
          <w:rFonts w:ascii="Times New Roman" w:hAnsi="Times New Roman"/>
          <w:b/>
          <w:i/>
          <w:sz w:val="28"/>
          <w:szCs w:val="24"/>
        </w:rPr>
        <w:t>ВСТУП</w:t>
      </w:r>
    </w:p>
    <w:p w:rsidR="00700B28" w:rsidRPr="00700B28" w:rsidRDefault="00700B28" w:rsidP="00384BEB">
      <w:pPr>
        <w:pStyle w:val="a5"/>
        <w:tabs>
          <w:tab w:val="left" w:pos="9214"/>
          <w:tab w:val="left" w:pos="9498"/>
        </w:tabs>
        <w:spacing w:after="0"/>
        <w:ind w:right="141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Fonts w:ascii="Times New Roman" w:hAnsi="Times New Roman"/>
          <w:sz w:val="28"/>
          <w:szCs w:val="28"/>
          <w:lang w:val="uk-UA" w:eastAsia="ru-RU"/>
        </w:rPr>
        <w:t>Основними напрямками діяльності К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омунального некомерційного підприємства «Ніжинська центральна районна лікарня» Ніжинської районної ради Чернігівської області</w:t>
      </w:r>
      <w:r w:rsidRPr="00700B28">
        <w:rPr>
          <w:rFonts w:ascii="Times New Roman" w:hAnsi="Times New Roman"/>
          <w:sz w:val="28"/>
          <w:szCs w:val="28"/>
          <w:lang w:val="uk-UA" w:eastAsia="ru-RU"/>
        </w:rPr>
        <w:t xml:space="preserve">, який діє на основі статуту, є 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надання вторинної (спеціалізованої) медичної допомоги населенню в порядку і на умовах, встановлених законодавством України та Статутом.</w:t>
      </w:r>
    </w:p>
    <w:p w:rsidR="00DC08E4" w:rsidRPr="00DC08E4" w:rsidRDefault="00700B28" w:rsidP="00384BE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214"/>
          <w:tab w:val="left" w:pos="9498"/>
        </w:tabs>
        <w:ind w:right="141" w:firstLine="567"/>
        <w:contextualSpacing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val="uk-UA"/>
        </w:rPr>
      </w:pP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Формування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звіту про виконання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>фінансового плану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за І</w:t>
      </w:r>
      <w:r w:rsidR="007855DA" w:rsidRPr="007855DA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квартал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 2021 рік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700B28">
        <w:rPr>
          <w:rFonts w:ascii="Times New Roman" w:hAnsi="Times New Roman"/>
          <w:color w:val="auto"/>
          <w:sz w:val="28"/>
          <w:szCs w:val="28"/>
          <w:lang w:val="uk-UA"/>
        </w:rPr>
        <w:t xml:space="preserve">КНП «Ніжинська ЦРЛ»  здійснено на підставі вимог: </w:t>
      </w:r>
    </w:p>
    <w:p w:rsidR="0072207F" w:rsidRDefault="00DC08E4" w:rsidP="002F2A24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9214"/>
        </w:tabs>
        <w:ind w:left="567" w:right="141"/>
        <w:contextualSpacing/>
        <w:jc w:val="both"/>
        <w:textAlignment w:val="baseline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Господарського кодексу  України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uk-UA"/>
        </w:rPr>
        <w:t>стт</w:t>
      </w:r>
      <w:proofErr w:type="spellEnd"/>
      <w:r>
        <w:rPr>
          <w:rFonts w:ascii="Times New Roman" w:hAnsi="Times New Roman"/>
          <w:color w:val="auto"/>
          <w:sz w:val="28"/>
          <w:szCs w:val="28"/>
          <w:lang w:val="uk-UA"/>
        </w:rPr>
        <w:t>. 78</w:t>
      </w:r>
      <w:r w:rsidR="00F81D4C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72207F" w:rsidRPr="0072207F" w:rsidRDefault="0072207F" w:rsidP="00B5084E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9214"/>
        </w:tabs>
        <w:ind w:left="567" w:right="141"/>
        <w:contextualSpacing/>
        <w:jc w:val="both"/>
        <w:textAlignment w:val="baseline"/>
        <w:rPr>
          <w:rFonts w:ascii="Times New Roman" w:hAnsi="Times New Roman"/>
          <w:bCs/>
          <w:iCs/>
          <w:color w:val="auto"/>
          <w:sz w:val="28"/>
          <w:szCs w:val="28"/>
          <w:lang w:val="uk-UA"/>
        </w:rPr>
      </w:pPr>
      <w:r w:rsidRPr="0072207F">
        <w:rPr>
          <w:rFonts w:ascii="Times New Roman" w:hAnsi="Times New Roman"/>
          <w:color w:val="auto"/>
          <w:sz w:val="28"/>
          <w:szCs w:val="28"/>
          <w:lang w:val="uk-UA"/>
        </w:rPr>
        <w:t>Наказу Міністерства економічного розвитку і торгівлі України від 02.03.2015 № 205 «</w:t>
      </w:r>
      <w:r w:rsidRPr="0072207F">
        <w:rPr>
          <w:rFonts w:ascii="Times New Roman" w:eastAsia="Times New Roman" w:hAnsi="Times New Roman"/>
          <w:bCs/>
          <w:color w:val="auto"/>
          <w:sz w:val="28"/>
          <w:szCs w:val="28"/>
          <w:lang w:val="uk-UA" w:eastAsia="uk-UA"/>
        </w:rPr>
        <w:t>Про затвердження Порядку складання, затвердження та контролю виконання фінансового плану суб’єкта господарювання державного сектору економіки</w:t>
      </w:r>
      <w:r w:rsidRPr="0072207F">
        <w:rPr>
          <w:rFonts w:ascii="Times New Roman" w:hAnsi="Times New Roman"/>
          <w:color w:val="auto"/>
          <w:sz w:val="28"/>
          <w:szCs w:val="28"/>
          <w:lang w:val="uk-UA"/>
        </w:rPr>
        <w:t>»</w:t>
      </w:r>
    </w:p>
    <w:p w:rsidR="00700B28" w:rsidRPr="00700B28" w:rsidRDefault="00700B28" w:rsidP="00B5084E">
      <w:pPr>
        <w:pStyle w:val="a3"/>
        <w:numPr>
          <w:ilvl w:val="0"/>
          <w:numId w:val="5"/>
        </w:numPr>
        <w:tabs>
          <w:tab w:val="left" w:pos="709"/>
          <w:tab w:val="left" w:pos="9214"/>
        </w:tabs>
        <w:spacing w:after="0" w:line="240" w:lineRule="auto"/>
        <w:ind w:left="567" w:right="141"/>
        <w:jc w:val="both"/>
        <w:rPr>
          <w:rFonts w:ascii="Times New Roman" w:hAnsi="Times New Roman"/>
          <w:bCs/>
          <w:iCs/>
          <w:sz w:val="28"/>
          <w:szCs w:val="28"/>
        </w:rPr>
      </w:pPr>
      <w:r w:rsidRPr="00700B28">
        <w:rPr>
          <w:rFonts w:ascii="Times New Roman" w:hAnsi="Times New Roman"/>
          <w:bCs/>
          <w:iCs/>
          <w:sz w:val="28"/>
          <w:szCs w:val="28"/>
        </w:rPr>
        <w:t>Нормативно-правових актів, які регламентують діяльність підприємств та складання фінансового плану даними підприємствами, Господарського  кодексу України (із змінами та доповненнями), а так</w:t>
      </w:r>
      <w:r w:rsidR="003322F6">
        <w:rPr>
          <w:rFonts w:ascii="Times New Roman" w:hAnsi="Times New Roman"/>
          <w:bCs/>
          <w:iCs/>
          <w:sz w:val="28"/>
          <w:szCs w:val="28"/>
        </w:rPr>
        <w:t>ож інших нормативних документів</w:t>
      </w:r>
      <w:r w:rsidRPr="00700B28">
        <w:rPr>
          <w:rFonts w:ascii="Times New Roman" w:hAnsi="Times New Roman"/>
          <w:bCs/>
          <w:iCs/>
          <w:sz w:val="28"/>
          <w:szCs w:val="28"/>
        </w:rPr>
        <w:t>.</w:t>
      </w:r>
    </w:p>
    <w:p w:rsidR="001919E7" w:rsidRPr="001919E7" w:rsidRDefault="00700B28" w:rsidP="001919E7">
      <w:pPr>
        <w:tabs>
          <w:tab w:val="left" w:pos="9214"/>
          <w:tab w:val="left" w:pos="9498"/>
        </w:tabs>
        <w:spacing w:after="0" w:line="240" w:lineRule="auto"/>
        <w:ind w:left="141" w:right="141" w:firstLine="567"/>
        <w:contextualSpacing/>
        <w:jc w:val="both"/>
        <w:rPr>
          <w:rFonts w:ascii="Times New Roman" w:hAnsi="Times New Roman" w:cs="Times New Roman"/>
          <w:bCs/>
          <w:sz w:val="36"/>
          <w:szCs w:val="28"/>
          <w:lang w:val="uk-UA"/>
        </w:rPr>
      </w:pPr>
      <w:r w:rsidRPr="001919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Звіт сформовано відповідно до </w:t>
      </w:r>
      <w:r w:rsidR="001919E7" w:rsidRPr="001919E7">
        <w:rPr>
          <w:rFonts w:ascii="Times New Roman" w:hAnsi="Times New Roman" w:cs="Times New Roman"/>
          <w:sz w:val="28"/>
          <w:lang w:val="uk-UA"/>
        </w:rPr>
        <w:t>методологічних засад, визначених національними положеннями (стандартами) бухгалтерського обліку, міжнародними стандартами фінансової звітності та відповідною обліковою політикою, згідно з якими підприємство складає свою фінансову звітність. Фінансова інформація, яка не є складовою фінансової звітності, формується на методологічних засадах, які застосовуються підприємством відповідно до законодавства, податкової та статистичної звітності.</w:t>
      </w:r>
    </w:p>
    <w:p w:rsidR="00700B28" w:rsidRPr="00700B28" w:rsidRDefault="00700B28" w:rsidP="00384BEB">
      <w:pPr>
        <w:tabs>
          <w:tab w:val="left" w:pos="9214"/>
          <w:tab w:val="left" w:pos="9498"/>
        </w:tabs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00B28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Розрахунок статей фінансового плану проведено на підставі: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bCs/>
          <w:iCs/>
          <w:sz w:val="28"/>
          <w:szCs w:val="28"/>
        </w:rPr>
        <w:t xml:space="preserve">запланованої </w:t>
      </w:r>
      <w:r w:rsidRPr="00700B28">
        <w:rPr>
          <w:rFonts w:ascii="Times New Roman" w:hAnsi="Times New Roman"/>
          <w:sz w:val="28"/>
          <w:szCs w:val="28"/>
        </w:rPr>
        <w:t>глобальної  ставки;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кількості пролікованих випадків;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обсягу цільового фінансування  на виконання цільових програм;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рівню мінімальної заробітної плати;</w:t>
      </w:r>
    </w:p>
    <w:p w:rsidR="00700B28" w:rsidRPr="00700B28" w:rsidRDefault="00700B28" w:rsidP="00B5084E">
      <w:pPr>
        <w:pStyle w:val="a3"/>
        <w:widowControl w:val="0"/>
        <w:numPr>
          <w:ilvl w:val="0"/>
          <w:numId w:val="4"/>
        </w:numPr>
        <w:tabs>
          <w:tab w:val="left" w:pos="567"/>
          <w:tab w:val="left" w:pos="9214"/>
        </w:tabs>
        <w:autoSpaceDE w:val="0"/>
        <w:autoSpaceDN w:val="0"/>
        <w:spacing w:after="0" w:line="240" w:lineRule="auto"/>
        <w:ind w:left="284" w:right="141" w:firstLine="0"/>
        <w:jc w:val="both"/>
        <w:rPr>
          <w:rFonts w:ascii="Times New Roman" w:hAnsi="Times New Roman"/>
          <w:b/>
          <w:sz w:val="28"/>
          <w:szCs w:val="28"/>
        </w:rPr>
      </w:pPr>
      <w:r w:rsidRPr="00700B28">
        <w:rPr>
          <w:rFonts w:ascii="Times New Roman" w:hAnsi="Times New Roman"/>
          <w:sz w:val="28"/>
          <w:szCs w:val="28"/>
        </w:rPr>
        <w:t>інші показники, що визначають рівень доходів і витрат підприємства</w:t>
      </w:r>
      <w:bookmarkStart w:id="0" w:name="_GoBack"/>
      <w:bookmarkEnd w:id="0"/>
      <w:r w:rsidRPr="00700B28">
        <w:rPr>
          <w:rFonts w:ascii="Times New Roman" w:hAnsi="Times New Roman"/>
          <w:sz w:val="28"/>
          <w:szCs w:val="28"/>
        </w:rPr>
        <w:t>.</w:t>
      </w:r>
      <w:r w:rsidRPr="00700B28">
        <w:rPr>
          <w:rFonts w:ascii="Times New Roman" w:hAnsi="Times New Roman"/>
          <w:b/>
          <w:sz w:val="28"/>
          <w:szCs w:val="28"/>
        </w:rPr>
        <w:t xml:space="preserve"> </w:t>
      </w:r>
    </w:p>
    <w:p w:rsidR="00B5084E" w:rsidRDefault="00B5084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700B28" w:rsidRDefault="00B5084E" w:rsidP="00384BEB">
      <w:pPr>
        <w:pStyle w:val="ab"/>
        <w:numPr>
          <w:ilvl w:val="0"/>
          <w:numId w:val="7"/>
        </w:numPr>
        <w:spacing w:before="0" w:beforeAutospacing="0" w:after="0" w:afterAutospacing="0"/>
        <w:contextualSpacing/>
        <w:jc w:val="center"/>
        <w:rPr>
          <w:b/>
          <w:sz w:val="28"/>
          <w:szCs w:val="28"/>
          <w:lang w:val="uk-UA"/>
        </w:rPr>
      </w:pPr>
      <w:r w:rsidRPr="00780F35">
        <w:rPr>
          <w:b/>
          <w:i/>
          <w:sz w:val="28"/>
          <w:szCs w:val="28"/>
          <w:lang w:val="uk-UA"/>
        </w:rPr>
        <w:lastRenderedPageBreak/>
        <w:t>ЗАГАЛЬНА</w:t>
      </w:r>
      <w:r>
        <w:rPr>
          <w:b/>
          <w:sz w:val="28"/>
          <w:szCs w:val="28"/>
          <w:lang w:val="uk-UA"/>
        </w:rPr>
        <w:t xml:space="preserve"> </w:t>
      </w:r>
      <w:r w:rsidRPr="00780F35">
        <w:rPr>
          <w:b/>
          <w:i/>
          <w:sz w:val="28"/>
          <w:szCs w:val="28"/>
          <w:lang w:val="uk-UA"/>
        </w:rPr>
        <w:t>ІНФОРМАЦІЯ</w:t>
      </w:r>
    </w:p>
    <w:p w:rsidR="00700B28" w:rsidRPr="00700B28" w:rsidRDefault="00700B28" w:rsidP="00384BEB">
      <w:pPr>
        <w:pStyle w:val="ab"/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  <w:lang w:val="uk-UA"/>
        </w:rPr>
      </w:pPr>
    </w:p>
    <w:p w:rsidR="00700B28" w:rsidRPr="00700B28" w:rsidRDefault="00700B28" w:rsidP="00384BEB">
      <w:pPr>
        <w:pStyle w:val="a5"/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Комунальне некомерційне підприємство «Ніжинська центральна районна лікарня» Ніжинської районної ради Чернігівської області</w:t>
      </w:r>
      <w:r w:rsidR="003322F6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є закладом охорони здоров’я</w:t>
      </w: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, що надає вторинну (спеціалізовану) медичну допомогу населенню в порядку і на умовах, встановлених законодавством України та Статутом.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Підприємство є об’єктом спільної власності створене на базі відокремленої частини майна спільної власності територіальних громад сіл, селищ Ніжинського району, що належить до сфери управління Ніжинської районної державної адміністрації. 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Метою функціонування комунального некомерційного підприємства Комунального некомерційного підприємства «Ніжинська центральна районна лікарня» Ніжинської районної ради Чернігівської області є :</w:t>
      </w:r>
    </w:p>
    <w:p w:rsidR="00700B28" w:rsidRP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- забезпечення потреб населення району у загальній, спеціалізованій та кваліфікованій поліклінічній (консультативно-діагностичній) </w:t>
      </w:r>
      <w:r w:rsidR="003322F6">
        <w:rPr>
          <w:rStyle w:val="a4"/>
          <w:rFonts w:ascii="Times New Roman" w:hAnsi="Times New Roman"/>
          <w:i w:val="0"/>
          <w:sz w:val="28"/>
          <w:szCs w:val="28"/>
          <w:lang w:val="uk-UA"/>
        </w:rPr>
        <w:t>медичній допомозі.</w:t>
      </w:r>
    </w:p>
    <w:p w:rsidR="00700B28" w:rsidRDefault="00700B28" w:rsidP="00384BEB">
      <w:pPr>
        <w:pStyle w:val="a5"/>
        <w:tabs>
          <w:tab w:val="left" w:pos="9923"/>
        </w:tabs>
        <w:spacing w:after="0"/>
        <w:ind w:right="737" w:firstLine="567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  <w:lang w:val="uk-UA"/>
        </w:rPr>
      </w:pPr>
      <w:r w:rsidRPr="00700B28">
        <w:rPr>
          <w:rStyle w:val="a4"/>
          <w:rFonts w:ascii="Times New Roman" w:hAnsi="Times New Roman"/>
          <w:i w:val="0"/>
          <w:sz w:val="28"/>
          <w:szCs w:val="28"/>
          <w:lang w:val="uk-UA"/>
        </w:rPr>
        <w:t>- стаціонарній медичній допомозі за профілем, відповідно до спеціалізації закладу.</w:t>
      </w:r>
    </w:p>
    <w:p w:rsidR="006217B4" w:rsidRPr="00F476DC" w:rsidRDefault="006217B4" w:rsidP="006217B4">
      <w:pPr>
        <w:spacing w:after="0" w:line="240" w:lineRule="auto"/>
        <w:ind w:right="425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Робота закладу </w:t>
      </w:r>
      <w:proofErr w:type="spellStart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>спрямована</w:t>
      </w:r>
      <w:proofErr w:type="spellEnd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на</w:t>
      </w:r>
      <w:proofErr w:type="gramStart"/>
      <w:r w:rsidRPr="006217B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F476DC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:</w:t>
      </w:r>
      <w:proofErr w:type="gramEnd"/>
    </w:p>
    <w:p w:rsidR="006217B4" w:rsidRPr="006217B4" w:rsidRDefault="006217B4" w:rsidP="006217B4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покращення здоров’я громадян,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spacing w:after="0" w:line="240" w:lineRule="auto"/>
        <w:ind w:right="425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удосконалення надання медичної допомоги населенню,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ind w:right="424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 xml:space="preserve">покращення матеріально-технічної бази, </w:t>
      </w:r>
    </w:p>
    <w:p w:rsidR="006217B4" w:rsidRPr="006217B4" w:rsidRDefault="006217B4" w:rsidP="006217B4">
      <w:pPr>
        <w:pStyle w:val="a3"/>
        <w:numPr>
          <w:ilvl w:val="0"/>
          <w:numId w:val="15"/>
        </w:numPr>
        <w:ind w:right="424"/>
        <w:jc w:val="both"/>
        <w:rPr>
          <w:rFonts w:ascii="Times New Roman" w:hAnsi="Times New Roman"/>
          <w:sz w:val="28"/>
          <w:szCs w:val="28"/>
          <w:lang w:eastAsia="zh-CN"/>
        </w:rPr>
      </w:pPr>
      <w:r w:rsidRPr="006217B4">
        <w:rPr>
          <w:rFonts w:ascii="Times New Roman" w:hAnsi="Times New Roman"/>
          <w:sz w:val="28"/>
          <w:szCs w:val="28"/>
          <w:shd w:val="clear" w:color="auto" w:fill="FCFCFC"/>
        </w:rPr>
        <w:t>раціональне використання фінансових ресурсів.</w:t>
      </w:r>
    </w:p>
    <w:p w:rsidR="00B5084E" w:rsidRDefault="00B508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801829" w:rsidRPr="00780F35" w:rsidRDefault="00B5084E" w:rsidP="009227D6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/>
          <w:i/>
          <w:sz w:val="28"/>
          <w:szCs w:val="26"/>
        </w:rPr>
      </w:pPr>
      <w:r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lastRenderedPageBreak/>
        <w:t xml:space="preserve">ФІНАНСОВО-ЕКОНОМІЧНІ ПОКАЗНИКИ ЗА </w:t>
      </w:r>
      <w:r w:rsidR="007855DA" w:rsidRPr="007855DA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7855DA" w:rsidRPr="007855DA">
        <w:rPr>
          <w:rFonts w:ascii="Times New Roman" w:hAnsi="Times New Roman"/>
          <w:b/>
          <w:i/>
          <w:sz w:val="28"/>
          <w:szCs w:val="28"/>
          <w:lang w:val="ru-RU"/>
        </w:rPr>
        <w:t xml:space="preserve"> КВАРТАЛ</w:t>
      </w:r>
      <w:r w:rsidR="007855DA" w:rsidRPr="007855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t>2021 Р</w:t>
      </w:r>
      <w:r w:rsidR="00CD3A7C"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t>І</w:t>
      </w:r>
      <w:r w:rsidRPr="00780F35">
        <w:rPr>
          <w:rFonts w:ascii="Times New Roman" w:eastAsia="Times New Roman" w:hAnsi="Times New Roman"/>
          <w:b/>
          <w:bCs/>
          <w:i/>
          <w:sz w:val="28"/>
          <w:szCs w:val="26"/>
        </w:rPr>
        <w:t>К</w:t>
      </w:r>
    </w:p>
    <w:p w:rsidR="00801829" w:rsidRPr="00801829" w:rsidRDefault="00801829" w:rsidP="00384BEB">
      <w:pPr>
        <w:pStyle w:val="a3"/>
        <w:tabs>
          <w:tab w:val="left" w:pos="0"/>
        </w:tabs>
        <w:spacing w:after="0" w:line="240" w:lineRule="auto"/>
        <w:ind w:left="942"/>
        <w:rPr>
          <w:rFonts w:ascii="Times New Roman" w:hAnsi="Times New Roman"/>
          <w:sz w:val="28"/>
          <w:szCs w:val="26"/>
        </w:rPr>
      </w:pPr>
    </w:p>
    <w:p w:rsidR="00801829" w:rsidRPr="00801829" w:rsidRDefault="00CD3A7C" w:rsidP="00384BEB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Ф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інансова звітність </w:t>
      </w:r>
      <w:r w:rsidR="00801829" w:rsidRPr="00801829"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  <w:t>комунального некомерційного підприємства «Ніжинська центральна районна лікарня» Ніжинської районної ради Чернігівської області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складається відповідно до вимог  </w:t>
      </w:r>
      <w:hyperlink r:id="rId7" w:anchor="n12" w:history="1">
        <w:r w:rsidR="00801829" w:rsidRPr="00801829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Порядку подання фінансової звітності</w:t>
        </w:r>
      </w:hyperlink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затвердженого постановою КМУ від 28.02.2000 р. № 419 та </w:t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>національним Положенням (стандартам) бухгалтерського обліку (П(С)БО</w:t>
      </w:r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270C">
        <w:fldChar w:fldCharType="begin"/>
      </w:r>
      <w:r w:rsidR="0028270C">
        <w:instrText>HYPERLINK</w:instrText>
      </w:r>
      <w:r w:rsidR="0028270C" w:rsidRPr="00100925">
        <w:rPr>
          <w:lang w:val="uk-UA"/>
        </w:rPr>
        <w:instrText xml:space="preserve"> "</w:instrText>
      </w:r>
      <w:r w:rsidR="0028270C">
        <w:instrText>https</w:instrText>
      </w:r>
      <w:r w:rsidR="0028270C" w:rsidRPr="00100925">
        <w:rPr>
          <w:lang w:val="uk-UA"/>
        </w:rPr>
        <w:instrText>://</w:instrText>
      </w:r>
      <w:r w:rsidR="0028270C">
        <w:instrText>zakon</w:instrText>
      </w:r>
      <w:r w:rsidR="0028270C" w:rsidRPr="00100925">
        <w:rPr>
          <w:lang w:val="uk-UA"/>
        </w:rPr>
        <w:instrText>.</w:instrText>
      </w:r>
      <w:r w:rsidR="0028270C">
        <w:instrText>rada</w:instrText>
      </w:r>
      <w:r w:rsidR="0028270C" w:rsidRPr="00100925">
        <w:rPr>
          <w:lang w:val="uk-UA"/>
        </w:rPr>
        <w:instrText>.</w:instrText>
      </w:r>
      <w:r w:rsidR="0028270C">
        <w:instrText>gov</w:instrText>
      </w:r>
      <w:r w:rsidR="0028270C" w:rsidRPr="00100925">
        <w:rPr>
          <w:lang w:val="uk-UA"/>
        </w:rPr>
        <w:instrText>.</w:instrText>
      </w:r>
      <w:r w:rsidR="0028270C">
        <w:instrText>ua</w:instrText>
      </w:r>
      <w:r w:rsidR="0028270C" w:rsidRPr="00100925">
        <w:rPr>
          <w:lang w:val="uk-UA"/>
        </w:rPr>
        <w:instrText>/</w:instrText>
      </w:r>
      <w:r w:rsidR="0028270C">
        <w:instrText>laws</w:instrText>
      </w:r>
      <w:r w:rsidR="0028270C" w:rsidRPr="00100925">
        <w:rPr>
          <w:lang w:val="uk-UA"/>
        </w:rPr>
        <w:instrText>/</w:instrText>
      </w:r>
      <w:r w:rsidR="0028270C">
        <w:instrText>show</w:instrText>
      </w:r>
      <w:r w:rsidR="0028270C" w:rsidRPr="00100925">
        <w:rPr>
          <w:lang w:val="uk-UA"/>
        </w:rPr>
        <w:instrText>/</w:instrText>
      </w:r>
      <w:r w:rsidR="0028270C">
        <w:instrText>z</w:instrText>
      </w:r>
      <w:r w:rsidR="0028270C" w:rsidRPr="00100925">
        <w:rPr>
          <w:lang w:val="uk-UA"/>
        </w:rPr>
        <w:instrText>0336-13" \</w:instrText>
      </w:r>
      <w:r w:rsidR="0028270C">
        <w:instrText>l</w:instrText>
      </w:r>
      <w:r w:rsidR="0028270C" w:rsidRPr="00100925">
        <w:rPr>
          <w:lang w:val="uk-UA"/>
        </w:rPr>
        <w:instrText xml:space="preserve"> "</w:instrText>
      </w:r>
      <w:r w:rsidR="0028270C">
        <w:instrText>n</w:instrText>
      </w:r>
      <w:r w:rsidR="0028270C" w:rsidRPr="00100925">
        <w:rPr>
          <w:lang w:val="uk-UA"/>
        </w:rPr>
        <w:instrText>17"</w:instrText>
      </w:r>
      <w:r w:rsidR="0028270C">
        <w:fldChar w:fldCharType="separate"/>
      </w:r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>“Загальні</w:t>
      </w:r>
      <w:proofErr w:type="spellEnd"/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вимоги до фінансової </w:t>
      </w:r>
      <w:proofErr w:type="spellStart"/>
      <w:r w:rsidR="00801829" w:rsidRPr="00801829">
        <w:rPr>
          <w:rFonts w:ascii="Times New Roman" w:eastAsia="Times New Roman" w:hAnsi="Times New Roman" w:cs="Times New Roman"/>
          <w:sz w:val="28"/>
          <w:szCs w:val="28"/>
          <w:lang w:val="uk-UA"/>
        </w:rPr>
        <w:t>звітності”</w:t>
      </w:r>
      <w:proofErr w:type="spellEnd"/>
      <w:r w:rsidR="0028270C">
        <w:fldChar w:fldCharType="end"/>
      </w:r>
      <w:r w:rsidR="00801829" w:rsidRPr="0080182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які діють на дату складання звітності. </w:t>
      </w:r>
    </w:p>
    <w:tbl>
      <w:tblPr>
        <w:tblW w:w="10788" w:type="dxa"/>
        <w:tblInd w:w="-1310" w:type="dxa"/>
        <w:tblLayout w:type="fixed"/>
        <w:tblLook w:val="04A0"/>
      </w:tblPr>
      <w:tblGrid>
        <w:gridCol w:w="10788"/>
      </w:tblGrid>
      <w:tr w:rsidR="002A7AB8" w:rsidRPr="00384BEB" w:rsidTr="002A7AB8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AB8" w:rsidRPr="00384BEB" w:rsidRDefault="002A7AB8" w:rsidP="00384B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Формування</w:t>
            </w:r>
            <w:proofErr w:type="spellEnd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 xml:space="preserve"> </w:t>
            </w: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фінансових</w:t>
            </w:r>
            <w:proofErr w:type="spellEnd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 xml:space="preserve"> </w:t>
            </w:r>
            <w:proofErr w:type="spell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результаті</w:t>
            </w:r>
            <w:proofErr w:type="gramStart"/>
            <w:r w:rsidRPr="00780F35">
              <w:rPr>
                <w:rFonts w:ascii="Times New Roman" w:eastAsia="Times New Roman" w:hAnsi="Times New Roman" w:cs="Times New Roman"/>
                <w:b/>
                <w:bCs/>
                <w:sz w:val="28"/>
                <w:szCs w:val="16"/>
              </w:rPr>
              <w:t>в</w:t>
            </w:r>
            <w:proofErr w:type="spellEnd"/>
            <w:proofErr w:type="gramEnd"/>
          </w:p>
        </w:tc>
      </w:tr>
    </w:tbl>
    <w:p w:rsidR="002A7AB8" w:rsidRDefault="002A7AB8" w:rsidP="00384BEB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C57CD8" w:rsidRPr="009A12D1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5" w:rsidRPr="009A12D1" w:rsidRDefault="00F15D95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наростаючим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ідсумком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D95" w:rsidRPr="009A12D1" w:rsidRDefault="00C57CD8" w:rsidP="0078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855DA"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="007855DA"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855DA">
              <w:rPr>
                <w:rFonts w:ascii="Times New Roman" w:hAnsi="Times New Roman"/>
                <w:szCs w:val="28"/>
              </w:rPr>
              <w:t xml:space="preserve">квартал </w:t>
            </w:r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="009A12D1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12D1" w:rsidRPr="009A12D1" w:rsidTr="009227D6">
        <w:trPr>
          <w:trHeight w:val="92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D1" w:rsidRPr="009A12D1" w:rsidRDefault="009A12D1" w:rsidP="00F1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D1" w:rsidRPr="009A12D1" w:rsidRDefault="009A12D1" w:rsidP="00F1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A12D1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676B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227D6" w:rsidP="009227D6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2D1"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="009A12D1"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922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227D6"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="009227D6"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227D6">
              <w:rPr>
                <w:rFonts w:ascii="Times New Roman" w:hAnsi="Times New Roman"/>
                <w:szCs w:val="28"/>
              </w:rPr>
              <w:t>квартал</w:t>
            </w:r>
            <w:r w:rsidR="009227D6"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722DDD">
            <w:pPr>
              <w:spacing w:after="0" w:line="240" w:lineRule="auto"/>
              <w:ind w:left="-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2D1" w:rsidRPr="009A12D1" w:rsidRDefault="009A12D1" w:rsidP="00722D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B5084E" w:rsidRPr="009A12D1" w:rsidTr="008E3966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4E" w:rsidRPr="009A12D1" w:rsidRDefault="00B5084E" w:rsidP="00F1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4E" w:rsidRPr="009A12D1" w:rsidRDefault="00B5084E" w:rsidP="009E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F2A24"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дохід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26 585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9 399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9 742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Собівартість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реалізованої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(9 802)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(10 066)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прибуток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збиток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8 601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2 335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(403)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(324)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80,4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(3 949)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(1 109)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ind w:left="-108" w:right="-109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операційні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(10 060)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(737)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операційної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5 599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(1 539)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(1 312)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(1 458)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(146)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CD3A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доходи,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 до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(512)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(437)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C15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Чистий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фінансовий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6 925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(512)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(949)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(437)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9227D6" w:rsidRPr="009A12D1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9A12D1" w:rsidRDefault="009227D6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(11 648)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227D6" w:rsidRDefault="009227D6" w:rsidP="009227D6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</w:tr>
    </w:tbl>
    <w:p w:rsidR="00F15D95" w:rsidRDefault="00F15D95" w:rsidP="00D131A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  <w:lang w:val="uk-UA"/>
        </w:rPr>
      </w:pPr>
    </w:p>
    <w:p w:rsidR="002A7AB8" w:rsidRPr="00384BEB" w:rsidRDefault="002A7AB8" w:rsidP="00D131A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Співвідношення доходів та витрат </w:t>
      </w:r>
      <w:r w:rsidR="009A12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9227D6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9227D6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9227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508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(питома вага), мають наступну тенденцію: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доходів:   Чистий дохід від реалізації продукції (товарів, робіт, послуг)  - </w:t>
      </w:r>
      <w:r w:rsidR="001E2B9F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E16077"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витрат :</w:t>
      </w:r>
      <w:r w:rsidRPr="00384BEB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Собівартість реалізованої продукції (товарів, робіт та послуг) – 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>82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складі доходів:   Інші операційні доходи   – 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2A7AB8" w:rsidRPr="00384BEB" w:rsidRDefault="002A7AB8" w:rsidP="00D131A1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У складі витрат :</w:t>
      </w:r>
      <w:r w:rsidRPr="00384BEB">
        <w:rPr>
          <w:rFonts w:ascii="Calibri" w:eastAsia="Times New Roman" w:hAnsi="Calibri" w:cs="Times New Roman"/>
          <w:sz w:val="28"/>
          <w:szCs w:val="28"/>
        </w:rPr>
        <w:t xml:space="preserve">    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Інші операційні витрати  – 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494A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84BEB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B5084E" w:rsidRDefault="00B5084E" w:rsidP="00D131A1">
      <w:pPr>
        <w:spacing w:after="0" w:line="240" w:lineRule="auto"/>
        <w:contextualSpacing/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eastAsia="zh-CN"/>
        </w:rPr>
      </w:pPr>
      <w:r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eastAsia="zh-CN"/>
        </w:rPr>
        <w:br w:type="page"/>
      </w:r>
    </w:p>
    <w:p w:rsidR="006E59B2" w:rsidRPr="00A16EA4" w:rsidRDefault="006C7C6B" w:rsidP="00D131A1">
      <w:pPr>
        <w:pStyle w:val="a5"/>
        <w:numPr>
          <w:ilvl w:val="0"/>
          <w:numId w:val="7"/>
        </w:numPr>
        <w:tabs>
          <w:tab w:val="left" w:pos="-284"/>
          <w:tab w:val="left" w:pos="851"/>
        </w:tabs>
        <w:spacing w:after="0"/>
        <w:ind w:right="28"/>
        <w:contextualSpacing/>
        <w:rPr>
          <w:rStyle w:val="a4"/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iCs/>
          <w:noProof/>
          <w:sz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411480</wp:posOffset>
            </wp:positionV>
            <wp:extent cx="4337685" cy="2536825"/>
            <wp:effectExtent l="19050" t="0" r="24765" b="0"/>
            <wp:wrapSquare wrapText="bothSides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E59B2" w:rsidRPr="006E59B2">
        <w:rPr>
          <w:rStyle w:val="a4"/>
          <w:rFonts w:ascii="Times New Roman" w:hAnsi="Times New Roman"/>
          <w:b/>
          <w:sz w:val="28"/>
          <w:lang w:val="uk-UA"/>
        </w:rPr>
        <w:t>Ф</w:t>
      </w:r>
      <w:r w:rsidR="006E59B2" w:rsidRPr="00A16EA4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ОРМУВАННЯ ДОХІДНОЇ ЧАСТИНИ ФІНАНСОВОГО ПЛАНУ </w:t>
      </w:r>
      <w:r w:rsidR="006E59B2">
        <w:rPr>
          <w:rStyle w:val="a4"/>
          <w:rFonts w:ascii="Times New Roman" w:hAnsi="Times New Roman"/>
          <w:b/>
          <w:sz w:val="28"/>
          <w:szCs w:val="28"/>
          <w:lang w:val="uk-UA"/>
        </w:rPr>
        <w:t>ЗА</w:t>
      </w:r>
      <w:r w:rsidR="007855DA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855DA" w:rsidRPr="007855DA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7855DA" w:rsidRPr="007855DA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="006E59B2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E59B2" w:rsidRPr="00A16EA4">
        <w:rPr>
          <w:rStyle w:val="a4"/>
          <w:rFonts w:ascii="Times New Roman" w:hAnsi="Times New Roman"/>
          <w:b/>
          <w:sz w:val="28"/>
          <w:szCs w:val="28"/>
          <w:lang w:val="uk-UA"/>
        </w:rPr>
        <w:t>2021 РІК</w:t>
      </w:r>
    </w:p>
    <w:p w:rsidR="006E59B2" w:rsidRDefault="00B304AD" w:rsidP="00D131A1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="006E59B2" w:rsidRPr="00A16EA4">
        <w:rPr>
          <w:rFonts w:ascii="Times New Roman" w:hAnsi="Times New Roman"/>
          <w:b/>
          <w:i/>
          <w:sz w:val="28"/>
          <w:szCs w:val="28"/>
          <w:lang w:val="uk-UA" w:eastAsia="ru-RU"/>
        </w:rPr>
        <w:t>Усього доходи Підприємства  (рядок 1210)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E59B2">
        <w:rPr>
          <w:rFonts w:ascii="Times New Roman" w:hAnsi="Times New Roman"/>
          <w:sz w:val="28"/>
          <w:szCs w:val="28"/>
          <w:lang w:val="uk-UA" w:eastAsia="ru-RU"/>
        </w:rPr>
        <w:t xml:space="preserve"> за </w:t>
      </w:r>
      <w:r w:rsidR="00F51C93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F51C93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F51C9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2021 рік </w:t>
      </w:r>
      <w:r w:rsidR="006E59B2">
        <w:rPr>
          <w:rFonts w:ascii="Times New Roman" w:hAnsi="Times New Roman"/>
          <w:sz w:val="28"/>
          <w:szCs w:val="28"/>
          <w:lang w:val="uk-UA" w:eastAsia="ru-RU"/>
        </w:rPr>
        <w:t xml:space="preserve">склали </w:t>
      </w:r>
      <w:r w:rsidR="00B90F02">
        <w:rPr>
          <w:rFonts w:ascii="Times New Roman" w:hAnsi="Times New Roman"/>
          <w:sz w:val="28"/>
          <w:szCs w:val="28"/>
          <w:lang w:val="uk-UA" w:eastAsia="ru-RU"/>
        </w:rPr>
        <w:t>11260</w:t>
      </w:r>
      <w:r w:rsidR="00B032AA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, що на </w:t>
      </w:r>
      <w:r w:rsidR="00B90F02">
        <w:rPr>
          <w:rFonts w:ascii="Times New Roman" w:hAnsi="Times New Roman"/>
          <w:sz w:val="28"/>
          <w:szCs w:val="28"/>
          <w:lang w:val="uk-UA" w:eastAsia="ru-RU"/>
        </w:rPr>
        <w:t>343</w:t>
      </w:r>
      <w:r w:rsidR="009476EB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D655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32AA">
        <w:rPr>
          <w:rFonts w:ascii="Times New Roman" w:hAnsi="Times New Roman"/>
          <w:sz w:val="28"/>
          <w:szCs w:val="28"/>
          <w:lang w:val="uk-UA" w:eastAsia="ru-RU"/>
        </w:rPr>
        <w:t>менше</w:t>
      </w:r>
      <w:r w:rsidR="006E59B2" w:rsidRPr="00A16EA4">
        <w:rPr>
          <w:rFonts w:ascii="Times New Roman" w:hAnsi="Times New Roman"/>
          <w:sz w:val="28"/>
          <w:szCs w:val="28"/>
          <w:lang w:val="uk-UA" w:eastAsia="ru-RU"/>
        </w:rPr>
        <w:t xml:space="preserve"> плану на  </w:t>
      </w:r>
      <w:r w:rsidR="00D655FE">
        <w:rPr>
          <w:rFonts w:ascii="Times New Roman" w:hAnsi="Times New Roman"/>
          <w:sz w:val="28"/>
          <w:szCs w:val="28"/>
          <w:lang w:val="uk-UA" w:eastAsia="ru-RU"/>
        </w:rPr>
        <w:t>поточний період.</w:t>
      </w:r>
    </w:p>
    <w:p w:rsidR="00BA270C" w:rsidRPr="00BA270C" w:rsidRDefault="00D655FE" w:rsidP="00D131A1">
      <w:pPr>
        <w:pStyle w:val="a5"/>
        <w:tabs>
          <w:tab w:val="left" w:pos="9923"/>
        </w:tabs>
        <w:spacing w:after="0"/>
        <w:ind w:right="312" w:firstLine="567"/>
        <w:contextualSpacing/>
        <w:jc w:val="both"/>
        <w:rPr>
          <w:rStyle w:val="a4"/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A270C" w:rsidRPr="00BA270C">
        <w:rPr>
          <w:rFonts w:ascii="Times New Roman" w:hAnsi="Times New Roman"/>
          <w:sz w:val="28"/>
          <w:szCs w:val="28"/>
        </w:rPr>
        <w:t xml:space="preserve">лан по доходах </w:t>
      </w:r>
      <w:proofErr w:type="spellStart"/>
      <w:r w:rsidR="00BA270C" w:rsidRPr="00BA270C">
        <w:rPr>
          <w:rFonts w:ascii="Times New Roman" w:hAnsi="Times New Roman"/>
          <w:sz w:val="28"/>
          <w:szCs w:val="28"/>
        </w:rPr>
        <w:t>виконано</w:t>
      </w:r>
      <w:proofErr w:type="spellEnd"/>
      <w:r w:rsidR="00BA270C" w:rsidRPr="00BA270C">
        <w:rPr>
          <w:rFonts w:ascii="Times New Roman" w:hAnsi="Times New Roman"/>
          <w:sz w:val="28"/>
          <w:szCs w:val="28"/>
        </w:rPr>
        <w:t xml:space="preserve"> на </w:t>
      </w:r>
      <w:r w:rsidR="00B90F02">
        <w:rPr>
          <w:rFonts w:ascii="Times New Roman" w:hAnsi="Times New Roman"/>
          <w:sz w:val="28"/>
          <w:szCs w:val="28"/>
          <w:lang w:val="uk-UA"/>
        </w:rPr>
        <w:t>103,7</w:t>
      </w:r>
      <w:r w:rsidR="00BA270C" w:rsidRPr="00BA270C">
        <w:rPr>
          <w:rFonts w:ascii="Times New Roman" w:hAnsi="Times New Roman"/>
          <w:sz w:val="28"/>
          <w:szCs w:val="28"/>
        </w:rPr>
        <w:t>%</w:t>
      </w:r>
      <w:r w:rsidR="00BA270C" w:rsidRPr="00BA270C">
        <w:rPr>
          <w:rFonts w:ascii="Times New Roman" w:hAnsi="Times New Roman"/>
          <w:sz w:val="28"/>
          <w:szCs w:val="28"/>
          <w:lang w:val="uk-UA"/>
        </w:rPr>
        <w:t>.</w:t>
      </w:r>
    </w:p>
    <w:p w:rsidR="00E16077" w:rsidRDefault="00E16077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077" w:rsidRDefault="00E16077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04AD" w:rsidRDefault="00B304AD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DBA" w:rsidRDefault="001A4DBA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76EB" w:rsidRDefault="009476EB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9B2" w:rsidRPr="00A16EA4" w:rsidRDefault="006E59B2" w:rsidP="00D131A1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6EA4">
        <w:rPr>
          <w:rFonts w:ascii="Times New Roman" w:hAnsi="Times New Roman" w:cs="Times New Roman"/>
          <w:b/>
          <w:sz w:val="28"/>
          <w:szCs w:val="28"/>
          <w:lang w:val="uk-UA"/>
        </w:rPr>
        <w:t>Структура доходів Підприємства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="00B90F02" w:rsidRPr="00B90F02">
        <w:rPr>
          <w:rFonts w:ascii="Times New Roman" w:hAnsi="Times New Roman"/>
          <w:b/>
          <w:sz w:val="28"/>
          <w:szCs w:val="28"/>
          <w:lang w:val="en-US"/>
        </w:rPr>
        <w:t>IV</w:t>
      </w:r>
      <w:r w:rsidR="00B90F02" w:rsidRPr="00B90F02">
        <w:rPr>
          <w:rFonts w:ascii="Times New Roman" w:hAnsi="Times New Roman"/>
          <w:b/>
          <w:sz w:val="28"/>
          <w:szCs w:val="28"/>
        </w:rPr>
        <w:t xml:space="preserve"> квартал</w:t>
      </w:r>
      <w:r w:rsidR="00B90F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1A6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E59B2" w:rsidRDefault="006E59B2" w:rsidP="00D131A1">
      <w:pPr>
        <w:tabs>
          <w:tab w:val="left" w:pos="0"/>
        </w:tabs>
        <w:spacing w:after="0" w:line="240" w:lineRule="auto"/>
        <w:ind w:left="786" w:right="28"/>
        <w:contextualSpacing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16E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EA4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Pr="00A16EA4">
        <w:rPr>
          <w:rFonts w:ascii="Times New Roman" w:hAnsi="Times New Roman" w:cs="Times New Roman"/>
          <w:sz w:val="24"/>
          <w:szCs w:val="28"/>
          <w:lang w:val="uk-UA"/>
        </w:rPr>
        <w:t>тис.грн</w:t>
      </w:r>
      <w:proofErr w:type="spellEnd"/>
      <w:r w:rsidRPr="00A16EA4">
        <w:rPr>
          <w:rFonts w:ascii="Times New Roman" w:hAnsi="Times New Roman" w:cs="Times New Roman"/>
          <w:sz w:val="24"/>
          <w:szCs w:val="28"/>
          <w:lang w:val="uk-UA"/>
        </w:rPr>
        <w:t>.)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C6B0E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1A4D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="001A4DB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9227D6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квартал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227D6" w:rsidRPr="00676B63" w:rsidTr="001A667E">
        <w:trPr>
          <w:trHeight w:val="66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9227D6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922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A12D1" w:rsidRDefault="00F51C93" w:rsidP="00C153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доході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9A12D1" w:rsidRDefault="00F51C93" w:rsidP="00E06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sz w:val="24"/>
                <w:szCs w:val="24"/>
              </w:rPr>
              <w:t>101,1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Чистий дохід від реалізації продукції (товарів, робіт, послуг)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26 585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40 080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9 399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Cs/>
                <w:sz w:val="24"/>
                <w:szCs w:val="24"/>
              </w:rPr>
              <w:t>9 742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доходи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2 145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</w:tbl>
    <w:p w:rsidR="00BA270C" w:rsidRPr="00BA270C" w:rsidRDefault="0055178F" w:rsidP="001A667E">
      <w:pPr>
        <w:pStyle w:val="ae"/>
        <w:tabs>
          <w:tab w:val="left" w:pos="709"/>
          <w:tab w:val="left" w:pos="1560"/>
        </w:tabs>
        <w:spacing w:line="240" w:lineRule="auto"/>
        <w:ind w:left="-284" w:firstLine="709"/>
        <w:contextualSpacing/>
        <w:rPr>
          <w:bCs/>
          <w:iCs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4.1. </w:t>
      </w:r>
      <w:r w:rsidR="00BA270C" w:rsidRPr="007356F5">
        <w:rPr>
          <w:b/>
          <w:bCs/>
          <w:i/>
          <w:iCs/>
          <w:color w:val="FF0000"/>
          <w:sz w:val="28"/>
          <w:szCs w:val="28"/>
        </w:rPr>
        <w:t>Чистий дохід від реалізації продукці</w:t>
      </w:r>
      <w:r w:rsidR="00BA270C" w:rsidRPr="00BA270C">
        <w:rPr>
          <w:bCs/>
          <w:i/>
          <w:iCs/>
          <w:sz w:val="28"/>
          <w:szCs w:val="28"/>
        </w:rPr>
        <w:t>ї</w:t>
      </w:r>
      <w:r w:rsidR="00BA270C" w:rsidRPr="00BA270C">
        <w:rPr>
          <w:bCs/>
          <w:iCs/>
          <w:sz w:val="28"/>
          <w:szCs w:val="28"/>
        </w:rPr>
        <w:t xml:space="preserve"> </w:t>
      </w:r>
      <w:r w:rsidR="006E59B2" w:rsidRPr="00A16EA4">
        <w:rPr>
          <w:b/>
          <w:i/>
          <w:color w:val="FF0000"/>
          <w:sz w:val="28"/>
          <w:szCs w:val="28"/>
        </w:rPr>
        <w:t xml:space="preserve">(рядок 1000) </w:t>
      </w:r>
      <w:r w:rsidR="00BA270C" w:rsidRPr="00BA270C">
        <w:rPr>
          <w:bCs/>
          <w:iCs/>
          <w:sz w:val="28"/>
          <w:szCs w:val="28"/>
        </w:rPr>
        <w:t xml:space="preserve">за  </w:t>
      </w:r>
      <w:r w:rsidR="00F51C93" w:rsidRPr="009227D6">
        <w:rPr>
          <w:sz w:val="28"/>
          <w:szCs w:val="28"/>
          <w:lang w:val="en-US"/>
        </w:rPr>
        <w:t>IV</w:t>
      </w:r>
      <w:r w:rsidR="00F51C93" w:rsidRPr="009227D6">
        <w:rPr>
          <w:sz w:val="28"/>
          <w:szCs w:val="28"/>
          <w:lang w:val="ru-RU"/>
        </w:rPr>
        <w:t xml:space="preserve"> </w:t>
      </w:r>
      <w:r w:rsidR="00F51C93" w:rsidRPr="009227D6">
        <w:rPr>
          <w:sz w:val="28"/>
          <w:szCs w:val="28"/>
        </w:rPr>
        <w:t>квартал</w:t>
      </w:r>
      <w:r w:rsidR="00F51C93">
        <w:rPr>
          <w:sz w:val="28"/>
          <w:szCs w:val="28"/>
        </w:rPr>
        <w:t xml:space="preserve">  </w:t>
      </w:r>
      <w:r w:rsidR="00BA270C" w:rsidRPr="00BA270C">
        <w:rPr>
          <w:bCs/>
          <w:iCs/>
          <w:sz w:val="28"/>
          <w:szCs w:val="28"/>
        </w:rPr>
        <w:t>2021 р</w:t>
      </w:r>
      <w:r w:rsidR="001E2B9F">
        <w:rPr>
          <w:bCs/>
          <w:iCs/>
          <w:sz w:val="28"/>
          <w:szCs w:val="28"/>
        </w:rPr>
        <w:t xml:space="preserve">ік </w:t>
      </w:r>
      <w:r w:rsidR="00BA270C" w:rsidRPr="00BA270C">
        <w:rPr>
          <w:bCs/>
          <w:iCs/>
          <w:sz w:val="28"/>
          <w:szCs w:val="28"/>
        </w:rPr>
        <w:t xml:space="preserve">склав </w:t>
      </w:r>
      <w:r w:rsidR="00B90F02">
        <w:rPr>
          <w:bCs/>
          <w:iCs/>
          <w:sz w:val="28"/>
          <w:szCs w:val="28"/>
        </w:rPr>
        <w:t>11260</w:t>
      </w:r>
      <w:r w:rsidR="00D316E8">
        <w:rPr>
          <w:bCs/>
          <w:iCs/>
          <w:sz w:val="28"/>
          <w:szCs w:val="28"/>
          <w:lang w:val="ru-RU"/>
        </w:rPr>
        <w:t>,0</w:t>
      </w:r>
      <w:r w:rsidR="00BA270C" w:rsidRPr="00BA270C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="00BA270C" w:rsidRPr="00BA270C">
        <w:rPr>
          <w:bCs/>
          <w:iCs/>
          <w:sz w:val="28"/>
          <w:szCs w:val="28"/>
        </w:rPr>
        <w:t>тис.грн</w:t>
      </w:r>
      <w:proofErr w:type="spellEnd"/>
      <w:r w:rsidR="00BA270C" w:rsidRPr="00BA270C">
        <w:rPr>
          <w:bCs/>
          <w:iCs/>
          <w:sz w:val="28"/>
          <w:szCs w:val="28"/>
        </w:rPr>
        <w:t>.,</w:t>
      </w:r>
      <w:r w:rsidR="00FB331E">
        <w:rPr>
          <w:bCs/>
          <w:iCs/>
          <w:sz w:val="28"/>
          <w:szCs w:val="28"/>
        </w:rPr>
        <w:t xml:space="preserve"> </w:t>
      </w:r>
      <w:r w:rsidR="00BA270C" w:rsidRPr="00BA270C">
        <w:rPr>
          <w:bCs/>
          <w:iCs/>
          <w:sz w:val="28"/>
          <w:szCs w:val="28"/>
        </w:rPr>
        <w:t xml:space="preserve">що становить </w:t>
      </w:r>
      <w:r w:rsidR="00B90F02">
        <w:rPr>
          <w:bCs/>
          <w:iCs/>
          <w:sz w:val="28"/>
          <w:szCs w:val="28"/>
        </w:rPr>
        <w:t>103,7</w:t>
      </w:r>
      <w:r w:rsidR="00E07B24">
        <w:rPr>
          <w:bCs/>
          <w:iCs/>
          <w:sz w:val="28"/>
          <w:szCs w:val="28"/>
          <w:lang w:val="ru-RU"/>
        </w:rPr>
        <w:t xml:space="preserve"> </w:t>
      </w:r>
      <w:r w:rsidR="00BA270C" w:rsidRPr="00BA270C">
        <w:rPr>
          <w:bCs/>
          <w:iCs/>
          <w:sz w:val="28"/>
          <w:szCs w:val="28"/>
        </w:rPr>
        <w:t xml:space="preserve">% до плану на звітний </w:t>
      </w:r>
      <w:r w:rsidR="00D655FE">
        <w:rPr>
          <w:bCs/>
          <w:iCs/>
          <w:sz w:val="28"/>
          <w:szCs w:val="28"/>
        </w:rPr>
        <w:t>період.</w:t>
      </w:r>
    </w:p>
    <w:p w:rsidR="00F12515" w:rsidRPr="00BA270C" w:rsidRDefault="00BA270C" w:rsidP="001A667E">
      <w:pPr>
        <w:pStyle w:val="a5"/>
        <w:tabs>
          <w:tab w:val="left" w:pos="9923"/>
        </w:tabs>
        <w:spacing w:after="0"/>
        <w:ind w:left="-426" w:firstLine="567"/>
        <w:contextualSpacing/>
        <w:jc w:val="both"/>
        <w:rPr>
          <w:rStyle w:val="a4"/>
          <w:rFonts w:ascii="Times New Roman" w:hAnsi="Times New Roman"/>
          <w:i w:val="0"/>
          <w:sz w:val="28"/>
          <w:lang w:val="uk-UA"/>
        </w:rPr>
      </w:pPr>
      <w:r w:rsidRPr="00BA270C">
        <w:rPr>
          <w:rFonts w:ascii="Times New Roman" w:hAnsi="Times New Roman"/>
          <w:sz w:val="28"/>
          <w:szCs w:val="28"/>
          <w:lang w:val="uk-UA"/>
        </w:rPr>
        <w:t>Основним джерелом чистого доходу</w:t>
      </w:r>
      <w:r>
        <w:rPr>
          <w:rFonts w:ascii="Times New Roman" w:hAnsi="Times New Roman"/>
          <w:sz w:val="28"/>
          <w:szCs w:val="28"/>
          <w:lang w:val="uk-UA"/>
        </w:rPr>
        <w:t xml:space="preserve"> від реалізації </w:t>
      </w:r>
      <w:r w:rsidRPr="00BA270C">
        <w:rPr>
          <w:rFonts w:ascii="Times New Roman" w:hAnsi="Times New Roman"/>
          <w:sz w:val="28"/>
          <w:szCs w:val="28"/>
          <w:lang w:val="uk-UA"/>
        </w:rPr>
        <w:t xml:space="preserve">доходу Комунального некомерційного підприємства «Ніжинська центральна районна лікарня» Ніжинської районної ради Чернігівської області </w:t>
      </w:r>
      <w:r w:rsidR="00F12515" w:rsidRPr="00BA270C">
        <w:rPr>
          <w:rStyle w:val="a4"/>
          <w:rFonts w:ascii="Times New Roman" w:hAnsi="Times New Roman"/>
          <w:i w:val="0"/>
          <w:sz w:val="28"/>
          <w:lang w:val="uk-UA"/>
        </w:rPr>
        <w:t>є:</w:t>
      </w:r>
    </w:p>
    <w:p w:rsidR="00F12515" w:rsidRPr="00700B28" w:rsidRDefault="00F12515" w:rsidP="001A667E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-426" w:firstLine="567"/>
        <w:contextualSpacing/>
        <w:jc w:val="both"/>
        <w:rPr>
          <w:rStyle w:val="a4"/>
          <w:rFonts w:ascii="Times New Roman" w:hAnsi="Times New Roman"/>
          <w:i w:val="0"/>
          <w:sz w:val="28"/>
        </w:rPr>
      </w:pPr>
      <w:r w:rsidRPr="00700B28">
        <w:rPr>
          <w:rStyle w:val="a4"/>
          <w:rFonts w:ascii="Times New Roman" w:hAnsi="Times New Roman"/>
          <w:i w:val="0"/>
          <w:sz w:val="28"/>
          <w:lang w:val="uk-UA"/>
        </w:rPr>
        <w:t>Д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оходи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надані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медичні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послуги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договорами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Національною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службою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здоров’я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України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на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закупівлю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медичних</w:t>
      </w:r>
      <w:proofErr w:type="spellEnd"/>
      <w:r w:rsidRPr="00700B28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послуг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за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Програмою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медичних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Pr="00700B28">
        <w:rPr>
          <w:rStyle w:val="a4"/>
          <w:rFonts w:ascii="Times New Roman" w:hAnsi="Times New Roman"/>
          <w:i w:val="0"/>
          <w:sz w:val="28"/>
        </w:rPr>
        <w:t>гарантій</w:t>
      </w:r>
      <w:proofErr w:type="spellEnd"/>
      <w:r w:rsidR="00D655FE">
        <w:rPr>
          <w:rStyle w:val="a4"/>
          <w:rFonts w:ascii="Times New Roman" w:hAnsi="Times New Roman"/>
          <w:i w:val="0"/>
          <w:sz w:val="28"/>
          <w:lang w:val="uk-UA"/>
        </w:rPr>
        <w:t xml:space="preserve"> – </w:t>
      </w:r>
      <w:r w:rsidR="006F6F6E">
        <w:rPr>
          <w:rStyle w:val="a4"/>
          <w:rFonts w:ascii="Times New Roman" w:hAnsi="Times New Roman"/>
          <w:i w:val="0"/>
          <w:sz w:val="28"/>
          <w:lang w:val="uk-UA"/>
        </w:rPr>
        <w:t>9541</w:t>
      </w:r>
      <w:r w:rsidR="00D316E8">
        <w:rPr>
          <w:rStyle w:val="a4"/>
          <w:rFonts w:ascii="Times New Roman" w:hAnsi="Times New Roman"/>
          <w:i w:val="0"/>
          <w:sz w:val="28"/>
          <w:lang w:val="uk-UA"/>
        </w:rPr>
        <w:t>,0</w:t>
      </w:r>
      <w:r w:rsidR="00D655FE"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proofErr w:type="spellStart"/>
      <w:r w:rsidR="00D655FE">
        <w:rPr>
          <w:rStyle w:val="a4"/>
          <w:rFonts w:ascii="Times New Roman" w:hAnsi="Times New Roman"/>
          <w:i w:val="0"/>
          <w:sz w:val="28"/>
          <w:lang w:val="uk-UA"/>
        </w:rPr>
        <w:t>тис.грн</w:t>
      </w:r>
      <w:proofErr w:type="spellEnd"/>
      <w:r w:rsidRPr="00700B28">
        <w:rPr>
          <w:rStyle w:val="a4"/>
          <w:rFonts w:ascii="Times New Roman" w:hAnsi="Times New Roman"/>
          <w:i w:val="0"/>
          <w:sz w:val="28"/>
        </w:rPr>
        <w:t>: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№3 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''Хірургічні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операції дорослим та дітям у стаціонарних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умовах'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6F6F6E">
        <w:rPr>
          <w:rStyle w:val="a4"/>
          <w:rFonts w:ascii="Times New Roman" w:hAnsi="Times New Roman"/>
          <w:i w:val="0"/>
          <w:sz w:val="28"/>
        </w:rPr>
        <w:t>1204</w:t>
      </w:r>
      <w:r w:rsidR="00D316E8">
        <w:rPr>
          <w:rStyle w:val="a4"/>
          <w:rFonts w:ascii="Times New Roman" w:hAnsi="Times New Roman"/>
          <w:i w:val="0"/>
          <w:sz w:val="28"/>
        </w:rPr>
        <w:t>,0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 4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''Стаціонарна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допомога дорослим та дітям без проведення хірургічних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операцій'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="00D655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F6F6E">
        <w:rPr>
          <w:rFonts w:ascii="Times New Roman" w:eastAsia="Times New Roman" w:hAnsi="Times New Roman"/>
          <w:sz w:val="28"/>
          <w:szCs w:val="28"/>
          <w:lang w:eastAsia="ru-RU"/>
        </w:rPr>
        <w:t>3825</w:t>
      </w:r>
      <w:r w:rsidR="00D316E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D655FE">
        <w:rPr>
          <w:rFonts w:ascii="Times New Roman" w:eastAsia="Times New Roman" w:hAnsi="Times New Roman"/>
          <w:sz w:val="28"/>
          <w:szCs w:val="28"/>
          <w:lang w:eastAsia="ru-RU"/>
        </w:rPr>
        <w:t>тис.грн.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№9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''Амбулаторна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вторинна (спеціалізована) та третинна (високоспеціалізована) медична допомога дорослим та дітям, включаючи медичну реабілітацію та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стоматологічну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допомогу'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proofErr w:type="spellEnd"/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6F6F6E">
        <w:rPr>
          <w:rStyle w:val="a4"/>
          <w:rFonts w:ascii="Times New Roman" w:hAnsi="Times New Roman"/>
          <w:i w:val="0"/>
          <w:sz w:val="28"/>
        </w:rPr>
        <w:t>752</w:t>
      </w:r>
      <w:r w:rsidR="00E07B24">
        <w:rPr>
          <w:rStyle w:val="a4"/>
          <w:rFonts w:ascii="Times New Roman" w:hAnsi="Times New Roman"/>
          <w:i w:val="0"/>
          <w:sz w:val="28"/>
        </w:rPr>
        <w:t>,0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700B28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 №21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''Діагностика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лікування та супровід осіб із ВІЛ'</w:t>
      </w:r>
      <w:r w:rsidRPr="00700B28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6F6F6E">
        <w:rPr>
          <w:rStyle w:val="a4"/>
          <w:rFonts w:ascii="Times New Roman" w:hAnsi="Times New Roman"/>
          <w:i w:val="0"/>
          <w:sz w:val="28"/>
        </w:rPr>
        <w:t>23</w:t>
      </w:r>
      <w:r w:rsidR="00E07B24">
        <w:rPr>
          <w:rStyle w:val="a4"/>
          <w:rFonts w:ascii="Times New Roman" w:hAnsi="Times New Roman"/>
          <w:i w:val="0"/>
          <w:sz w:val="28"/>
        </w:rPr>
        <w:t>,</w:t>
      </w:r>
      <w:r w:rsidR="00D316E8">
        <w:rPr>
          <w:rStyle w:val="a4"/>
          <w:rFonts w:ascii="Times New Roman" w:hAnsi="Times New Roman"/>
          <w:i w:val="0"/>
          <w:sz w:val="28"/>
        </w:rPr>
        <w:t>0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F12515" w:rsidRPr="001E2B9F" w:rsidRDefault="00F12515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Style w:val="a4"/>
          <w:rFonts w:ascii="Times New Roman" w:eastAsia="Times New Roman" w:hAnsi="Times New Roman"/>
          <w:bCs/>
          <w:i w:val="0"/>
          <w:sz w:val="28"/>
          <w:szCs w:val="28"/>
          <w:lang w:eastAsia="ru-RU"/>
        </w:rPr>
      </w:pPr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пакет № 31''Стаціонарна допомога </w:t>
      </w:r>
      <w:proofErr w:type="spellStart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паціентам</w:t>
      </w:r>
      <w:proofErr w:type="spellEnd"/>
      <w:r w:rsidRPr="00700B2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з гострою респіраторною хворобою СOVID-19''</w:t>
      </w:r>
      <w:r w:rsidR="00D655FE" w:rsidRPr="0070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55FE" w:rsidRPr="00700B28">
        <w:rPr>
          <w:rStyle w:val="a4"/>
          <w:rFonts w:ascii="Times New Roman" w:hAnsi="Times New Roman"/>
          <w:i w:val="0"/>
          <w:sz w:val="28"/>
        </w:rPr>
        <w:t xml:space="preserve">– </w:t>
      </w:r>
      <w:r w:rsidR="006F6F6E">
        <w:rPr>
          <w:rStyle w:val="a4"/>
          <w:rFonts w:ascii="Times New Roman" w:hAnsi="Times New Roman"/>
          <w:i w:val="0"/>
          <w:sz w:val="28"/>
        </w:rPr>
        <w:t>3695</w:t>
      </w:r>
      <w:r w:rsidR="00D316E8">
        <w:rPr>
          <w:rStyle w:val="a4"/>
          <w:rFonts w:ascii="Times New Roman" w:hAnsi="Times New Roman"/>
          <w:i w:val="0"/>
          <w:sz w:val="28"/>
        </w:rPr>
        <w:t>,0</w:t>
      </w:r>
      <w:r w:rsidR="00E07B24">
        <w:rPr>
          <w:rStyle w:val="a4"/>
          <w:rFonts w:ascii="Times New Roman" w:hAnsi="Times New Roman"/>
          <w:i w:val="0"/>
          <w:sz w:val="28"/>
        </w:rPr>
        <w:t xml:space="preserve"> </w:t>
      </w:r>
      <w:r w:rsidR="00D655FE">
        <w:rPr>
          <w:rStyle w:val="a4"/>
          <w:rFonts w:ascii="Times New Roman" w:hAnsi="Times New Roman"/>
          <w:i w:val="0"/>
          <w:sz w:val="28"/>
        </w:rPr>
        <w:t xml:space="preserve"> </w:t>
      </w:r>
      <w:proofErr w:type="spellStart"/>
      <w:r w:rsidR="00D655FE" w:rsidRPr="00700B28"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 w:rsidR="00D655FE">
        <w:rPr>
          <w:rStyle w:val="a4"/>
          <w:rFonts w:ascii="Times New Roman" w:hAnsi="Times New Roman"/>
          <w:i w:val="0"/>
          <w:sz w:val="28"/>
        </w:rPr>
        <w:t>.</w:t>
      </w:r>
    </w:p>
    <w:p w:rsidR="00B032AA" w:rsidRPr="00700B28" w:rsidRDefault="00B032AA" w:rsidP="001A667E">
      <w:pPr>
        <w:pStyle w:val="a3"/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</w:rPr>
        <w:lastRenderedPageBreak/>
        <w:t>пакет № 34 « Стоматологічна допомога дорослим та дітям» -</w:t>
      </w:r>
      <w:r w:rsidR="006F6F6E">
        <w:rPr>
          <w:rStyle w:val="a4"/>
          <w:rFonts w:ascii="Times New Roman" w:hAnsi="Times New Roman"/>
          <w:i w:val="0"/>
          <w:sz w:val="28"/>
        </w:rPr>
        <w:t>42</w:t>
      </w:r>
      <w:r>
        <w:rPr>
          <w:rStyle w:val="a4"/>
          <w:rFonts w:ascii="Times New Roman" w:hAnsi="Times New Roman"/>
          <w:i w:val="0"/>
          <w:sz w:val="28"/>
        </w:rPr>
        <w:t xml:space="preserve">,0 </w:t>
      </w:r>
      <w:proofErr w:type="spellStart"/>
      <w:r>
        <w:rPr>
          <w:rStyle w:val="a4"/>
          <w:rFonts w:ascii="Times New Roman" w:hAnsi="Times New Roman"/>
          <w:i w:val="0"/>
          <w:sz w:val="28"/>
        </w:rPr>
        <w:t>тис.грн</w:t>
      </w:r>
      <w:proofErr w:type="spellEnd"/>
      <w:r>
        <w:rPr>
          <w:rStyle w:val="a4"/>
          <w:rFonts w:ascii="Times New Roman" w:hAnsi="Times New Roman"/>
          <w:i w:val="0"/>
          <w:sz w:val="28"/>
        </w:rPr>
        <w:t>.</w:t>
      </w:r>
    </w:p>
    <w:p w:rsidR="00C23FCF" w:rsidRPr="006F6F6E" w:rsidRDefault="00F12515" w:rsidP="006F6F6E">
      <w:pPr>
        <w:spacing w:after="0" w:line="240" w:lineRule="auto"/>
        <w:ind w:left="-284"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Оплата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здійснювалася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пролікованих випадків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законодавчо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встановленою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глобальною</w:t>
      </w:r>
      <w:proofErr w:type="gram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визначеною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у договорах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 w:rsidR="00F51C93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F51C93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F51C93">
        <w:rPr>
          <w:rFonts w:ascii="Times New Roman" w:hAnsi="Times New Roman"/>
          <w:sz w:val="28"/>
          <w:szCs w:val="28"/>
          <w:lang w:val="uk-UA"/>
        </w:rPr>
        <w:t>і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655F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F51C93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надходження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плати за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послуги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eastAsia="Times New Roman" w:hAnsi="Times New Roman" w:cs="Times New Roman"/>
          <w:sz w:val="28"/>
          <w:szCs w:val="28"/>
        </w:rPr>
        <w:t>склало</w:t>
      </w:r>
      <w:proofErr w:type="spellEnd"/>
      <w:r w:rsidRPr="00700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F6E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497F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17F3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6E4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6F6E">
        <w:rPr>
          <w:rFonts w:ascii="Times New Roman" w:eastAsia="Times New Roman" w:hAnsi="Times New Roman" w:cs="Times New Roman"/>
          <w:sz w:val="28"/>
          <w:szCs w:val="28"/>
        </w:rPr>
        <w:t>тис</w:t>
      </w:r>
      <w:proofErr w:type="gramStart"/>
      <w:r w:rsidR="006F6F6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6F6F6E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6F6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D38" w:rsidRPr="00700D38" w:rsidRDefault="00700D38" w:rsidP="001A667E">
      <w:pPr>
        <w:pStyle w:val="a3"/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6E8" w:rsidRPr="00A16EA4" w:rsidRDefault="0055178F" w:rsidP="001A667E">
      <w:pPr>
        <w:tabs>
          <w:tab w:val="left" w:pos="0"/>
        </w:tabs>
        <w:spacing w:after="0" w:line="240" w:lineRule="auto"/>
        <w:ind w:left="-28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FF0000"/>
          <w:sz w:val="28"/>
          <w:lang w:val="uk-UA"/>
        </w:rPr>
        <w:t xml:space="preserve">4.2. </w:t>
      </w:r>
      <w:r w:rsidR="009E3D55" w:rsidRPr="007356F5">
        <w:rPr>
          <w:rFonts w:ascii="Times New Roman" w:hAnsi="Times New Roman"/>
          <w:b/>
          <w:i/>
          <w:color w:val="FF0000"/>
          <w:sz w:val="28"/>
          <w:lang w:val="uk-UA"/>
        </w:rPr>
        <w:t>Інші операційні доходи</w:t>
      </w:r>
      <w:r w:rsidR="006E59B2">
        <w:rPr>
          <w:rFonts w:ascii="Times New Roman" w:hAnsi="Times New Roman"/>
          <w:b/>
          <w:i/>
          <w:color w:val="FF0000"/>
          <w:sz w:val="28"/>
          <w:lang w:val="uk-UA"/>
        </w:rPr>
        <w:t xml:space="preserve"> </w:t>
      </w:r>
      <w:r w:rsidR="006E59B2" w:rsidRPr="00A16EA4">
        <w:rPr>
          <w:rFonts w:ascii="Times New Roman" w:hAnsi="Times New Roman"/>
          <w:b/>
          <w:i/>
          <w:sz w:val="28"/>
          <w:szCs w:val="28"/>
          <w:lang w:val="uk-UA"/>
        </w:rPr>
        <w:t xml:space="preserve">(рядок 1070) </w:t>
      </w:r>
      <w:r w:rsidR="009E3D55" w:rsidRPr="009E3D55">
        <w:rPr>
          <w:rFonts w:ascii="Times New Roman" w:hAnsi="Times New Roman"/>
          <w:i/>
          <w:sz w:val="28"/>
          <w:lang w:val="uk-UA"/>
        </w:rPr>
        <w:t xml:space="preserve">  </w:t>
      </w:r>
      <w:r w:rsidR="009E3D55" w:rsidRPr="00D316E8">
        <w:rPr>
          <w:rFonts w:ascii="Times New Roman" w:hAnsi="Times New Roman"/>
          <w:sz w:val="28"/>
          <w:lang w:val="uk-UA"/>
        </w:rPr>
        <w:t xml:space="preserve">склали </w:t>
      </w:r>
      <w:r w:rsidR="006F6F6E">
        <w:rPr>
          <w:rFonts w:ascii="Times New Roman" w:hAnsi="Times New Roman"/>
          <w:sz w:val="28"/>
          <w:lang w:val="uk-UA"/>
        </w:rPr>
        <w:t>1009</w:t>
      </w:r>
      <w:r w:rsidR="009E3D55" w:rsidRPr="00700B28">
        <w:rPr>
          <w:rFonts w:ascii="Times New Roman" w:hAnsi="Times New Roman"/>
          <w:sz w:val="28"/>
          <w:lang w:val="uk-UA"/>
        </w:rPr>
        <w:t xml:space="preserve">,0 </w:t>
      </w:r>
      <w:proofErr w:type="spellStart"/>
      <w:r w:rsidR="009E3D55" w:rsidRPr="00700B28">
        <w:rPr>
          <w:rFonts w:ascii="Times New Roman" w:hAnsi="Times New Roman"/>
          <w:sz w:val="28"/>
          <w:lang w:val="uk-UA"/>
        </w:rPr>
        <w:t>тис.грн</w:t>
      </w:r>
      <w:proofErr w:type="spellEnd"/>
      <w:r w:rsidR="006E59B2" w:rsidRPr="006E5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що на </w:t>
      </w:r>
      <w:r w:rsidR="006F6F6E">
        <w:rPr>
          <w:rFonts w:ascii="Times New Roman" w:hAnsi="Times New Roman"/>
          <w:sz w:val="28"/>
          <w:szCs w:val="28"/>
          <w:lang w:val="uk-UA"/>
        </w:rPr>
        <w:t>72</w:t>
      </w:r>
      <w:r w:rsidR="001A667E">
        <w:rPr>
          <w:rFonts w:ascii="Times New Roman" w:hAnsi="Times New Roman"/>
          <w:sz w:val="28"/>
          <w:szCs w:val="28"/>
          <w:lang w:val="uk-UA"/>
        </w:rPr>
        <w:t>,</w:t>
      </w:r>
      <w:r w:rsidR="00D316E8">
        <w:rPr>
          <w:rFonts w:ascii="Times New Roman" w:hAnsi="Times New Roman"/>
          <w:sz w:val="28"/>
          <w:szCs w:val="28"/>
          <w:lang w:val="uk-UA"/>
        </w:rPr>
        <w:t>0</w:t>
      </w:r>
      <w:r w:rsidR="00600D7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00D74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00D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6F6E">
        <w:rPr>
          <w:rFonts w:ascii="Times New Roman" w:hAnsi="Times New Roman"/>
          <w:sz w:val="28"/>
          <w:szCs w:val="28"/>
          <w:lang w:val="uk-UA"/>
        </w:rPr>
        <w:t>більше</w:t>
      </w:r>
      <w:r w:rsidR="001A66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D7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E4641">
        <w:rPr>
          <w:rFonts w:ascii="Times New Roman" w:hAnsi="Times New Roman"/>
          <w:sz w:val="28"/>
          <w:szCs w:val="28"/>
          <w:lang w:val="uk-UA"/>
        </w:rPr>
        <w:t xml:space="preserve"> становить </w:t>
      </w:r>
      <w:r w:rsidR="006F6F6E">
        <w:rPr>
          <w:rFonts w:ascii="Times New Roman" w:hAnsi="Times New Roman"/>
          <w:sz w:val="28"/>
          <w:szCs w:val="28"/>
          <w:lang w:val="uk-UA"/>
        </w:rPr>
        <w:t>107,7</w:t>
      </w:r>
      <w:r w:rsidR="006E4641">
        <w:rPr>
          <w:rFonts w:ascii="Times New Roman" w:hAnsi="Times New Roman"/>
          <w:sz w:val="28"/>
          <w:szCs w:val="28"/>
          <w:lang w:val="uk-UA"/>
        </w:rPr>
        <w:t xml:space="preserve"> % до</w:t>
      </w:r>
      <w:r w:rsidR="00C128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 плану  </w:t>
      </w:r>
      <w:r w:rsidR="00C1282B">
        <w:rPr>
          <w:rFonts w:ascii="Times New Roman" w:hAnsi="Times New Roman"/>
          <w:sz w:val="28"/>
          <w:szCs w:val="28"/>
          <w:lang w:val="uk-UA"/>
        </w:rPr>
        <w:t>поточного періоду</w:t>
      </w:r>
      <w:r w:rsidR="006E59B2" w:rsidRPr="00A16EA4">
        <w:rPr>
          <w:rFonts w:ascii="Times New Roman" w:hAnsi="Times New Roman"/>
          <w:sz w:val="28"/>
          <w:szCs w:val="28"/>
          <w:lang w:val="uk-UA"/>
        </w:rPr>
        <w:t xml:space="preserve"> .</w:t>
      </w:r>
      <w:r w:rsidR="00D316E8" w:rsidRPr="00D31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16E8" w:rsidRDefault="00D316E8" w:rsidP="00D131A1">
      <w:pPr>
        <w:tabs>
          <w:tab w:val="left" w:pos="0"/>
        </w:tabs>
        <w:spacing w:after="0" w:line="240" w:lineRule="auto"/>
        <w:ind w:left="786" w:right="28"/>
        <w:contextualSpacing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A16E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6EA4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Pr="00A16EA4">
        <w:rPr>
          <w:rFonts w:ascii="Times New Roman" w:hAnsi="Times New Roman" w:cs="Times New Roman"/>
          <w:sz w:val="24"/>
          <w:szCs w:val="28"/>
          <w:lang w:val="uk-UA"/>
        </w:rPr>
        <w:t>тис.грн</w:t>
      </w:r>
      <w:proofErr w:type="spellEnd"/>
      <w:r w:rsidRPr="00A16EA4">
        <w:rPr>
          <w:rFonts w:ascii="Times New Roman" w:hAnsi="Times New Roman" w:cs="Times New Roman"/>
          <w:sz w:val="24"/>
          <w:szCs w:val="28"/>
          <w:lang w:val="uk-UA"/>
        </w:rPr>
        <w:t>.)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1A667E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7E" w:rsidRPr="00676B63" w:rsidRDefault="001A667E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7E" w:rsidRPr="00676B63" w:rsidRDefault="009227D6" w:rsidP="001A6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квартал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227D6" w:rsidRPr="00676B63" w:rsidTr="001A667E">
        <w:trPr>
          <w:trHeight w:val="57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1A6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9227D6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9227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1A667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D13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51C93" w:rsidRPr="00C1282B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42" w:right="-7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Інші операційні доходи, у тому числі: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600D74" w:rsidRDefault="00F51C93" w:rsidP="006A47D6">
            <w:pPr>
              <w:spacing w:after="0" w:line="240" w:lineRule="auto"/>
              <w:ind w:left="-108" w:right="-109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00D7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1 070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11 007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42" w:right="-7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Нетипові операційні доходи (цільове фінансування на виконання програм)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10 505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Cs/>
                <w:sz w:val="24"/>
                <w:szCs w:val="24"/>
              </w:rPr>
              <w:t>2 727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Cs/>
                <w:sz w:val="24"/>
                <w:szCs w:val="24"/>
              </w:rPr>
              <w:t>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120,6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left="-142" w:right="-71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доходи ,(доходи не заборонені законодавством)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A16EA4" w:rsidRDefault="00F51C93" w:rsidP="00D131A1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A16E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(80)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6F6F6E" w:rsidRDefault="0076443C" w:rsidP="001A667E">
      <w:pPr>
        <w:spacing w:after="0" w:line="240" w:lineRule="auto"/>
        <w:ind w:left="-567" w:firstLine="567"/>
        <w:contextualSpacing/>
        <w:jc w:val="both"/>
        <w:rPr>
          <w:rStyle w:val="a4"/>
          <w:rFonts w:ascii="Times New Roman" w:hAnsi="Times New Roman" w:cs="Times New Roman"/>
          <w:i w:val="0"/>
          <w:sz w:val="28"/>
          <w:lang w:val="uk-UA"/>
        </w:rPr>
      </w:pPr>
      <w:r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- </w:t>
      </w:r>
      <w:r w:rsidRPr="0076443C">
        <w:rPr>
          <w:rStyle w:val="a4"/>
          <w:rFonts w:ascii="Times New Roman" w:hAnsi="Times New Roman" w:cs="Times New Roman"/>
          <w:sz w:val="28"/>
          <w:u w:val="single"/>
          <w:lang w:val="uk-UA"/>
        </w:rPr>
        <w:t>Нетипові операційн</w:t>
      </w:r>
      <w:r w:rsidRPr="0076443C">
        <w:rPr>
          <w:rStyle w:val="a4"/>
          <w:rFonts w:ascii="Times New Roman" w:hAnsi="Times New Roman"/>
          <w:sz w:val="28"/>
          <w:u w:val="single"/>
          <w:lang w:val="uk-UA"/>
        </w:rPr>
        <w:t>і доходи</w:t>
      </w:r>
      <w:r w:rsidRPr="0076443C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</w:t>
      </w:r>
      <w:r w:rsidR="00F12515" w:rsidRPr="009E3D55">
        <w:rPr>
          <w:rFonts w:ascii="Times New Roman" w:eastAsia="Times New Roman" w:hAnsi="Times New Roman"/>
          <w:sz w:val="28"/>
          <w:szCs w:val="28"/>
          <w:lang w:val="uk-UA"/>
        </w:rPr>
        <w:t xml:space="preserve">Одним з джерел доходів підприємства у </w:t>
      </w:r>
      <w:r w:rsidR="006F6F6E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6F6F6E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6F6F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F12515" w:rsidRPr="009E3D55">
        <w:rPr>
          <w:rFonts w:ascii="Times New Roman" w:eastAsia="Times New Roman" w:hAnsi="Times New Roman"/>
          <w:sz w:val="28"/>
          <w:szCs w:val="28"/>
          <w:lang w:val="uk-UA"/>
        </w:rPr>
        <w:t xml:space="preserve">2021 році було </w:t>
      </w:r>
      <w:r w:rsidR="00F12515" w:rsidRPr="009E3D55">
        <w:rPr>
          <w:rStyle w:val="a4"/>
          <w:rFonts w:ascii="Times New Roman" w:hAnsi="Times New Roman"/>
          <w:i w:val="0"/>
          <w:sz w:val="28"/>
          <w:lang w:val="uk-UA"/>
        </w:rPr>
        <w:t>Цільове фінансування з місцевого бюджету на виконання затверджених програм</w:t>
      </w:r>
      <w:r w:rsidR="00E10A60" w:rsidRPr="009E3D55">
        <w:rPr>
          <w:rStyle w:val="a4"/>
          <w:rFonts w:ascii="Times New Roman" w:hAnsi="Times New Roman"/>
          <w:i w:val="0"/>
          <w:sz w:val="28"/>
          <w:lang w:val="uk-UA"/>
        </w:rPr>
        <w:t xml:space="preserve"> підтримки</w:t>
      </w:r>
      <w:r>
        <w:rPr>
          <w:rStyle w:val="a4"/>
          <w:rFonts w:ascii="Times New Roman" w:hAnsi="Times New Roman"/>
          <w:i w:val="0"/>
          <w:sz w:val="28"/>
          <w:lang w:val="uk-UA"/>
        </w:rPr>
        <w:t xml:space="preserve"> </w:t>
      </w:r>
      <w:r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>по оплаті комунальних послуг</w:t>
      </w:r>
      <w:r w:rsidR="006F6F6E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та цільове фінансування інших матеріалів в тому числі медикамент та продукти харчування</w:t>
      </w:r>
      <w:r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Pr="009E3D55">
        <w:rPr>
          <w:rStyle w:val="a4"/>
          <w:rFonts w:ascii="Times New Roman" w:hAnsi="Times New Roman" w:cs="Times New Roman"/>
          <w:sz w:val="28"/>
          <w:lang w:val="uk-UA"/>
        </w:rPr>
        <w:t>(згідно Бюджетного кодексу України ст.89 №2456-</w:t>
      </w:r>
      <w:r w:rsidRPr="009E3D55">
        <w:rPr>
          <w:rStyle w:val="a4"/>
          <w:rFonts w:ascii="Times New Roman" w:hAnsi="Times New Roman" w:cs="Times New Roman"/>
          <w:sz w:val="28"/>
        </w:rPr>
        <w:t>VI</w:t>
      </w:r>
      <w:r w:rsidRPr="009E3D55">
        <w:rPr>
          <w:rStyle w:val="a4"/>
          <w:rFonts w:ascii="Times New Roman" w:hAnsi="Times New Roman" w:cs="Times New Roman"/>
          <w:sz w:val="28"/>
          <w:lang w:val="uk-UA"/>
        </w:rPr>
        <w:t xml:space="preserve"> від 08.07.2010р)</w:t>
      </w:r>
      <w:r>
        <w:rPr>
          <w:rStyle w:val="a4"/>
          <w:rFonts w:ascii="Times New Roman" w:hAnsi="Times New Roman" w:cs="Times New Roman"/>
          <w:sz w:val="28"/>
          <w:lang w:val="uk-UA"/>
        </w:rPr>
        <w:t xml:space="preserve"> </w:t>
      </w:r>
      <w:r w:rsidR="009E3D55" w:rsidRPr="0076443C">
        <w:rPr>
          <w:rStyle w:val="a4"/>
          <w:rFonts w:ascii="Times New Roman" w:hAnsi="Times New Roman"/>
          <w:sz w:val="28"/>
          <w:lang w:val="uk-UA"/>
        </w:rPr>
        <w:t>н</w:t>
      </w:r>
      <w:r w:rsidR="00E10A60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адійшло </w:t>
      </w:r>
      <w:r w:rsidR="006F6F6E">
        <w:rPr>
          <w:rStyle w:val="a4"/>
          <w:rFonts w:ascii="Times New Roman" w:hAnsi="Times New Roman" w:cs="Times New Roman"/>
          <w:i w:val="0"/>
          <w:sz w:val="28"/>
          <w:lang w:val="uk-UA"/>
        </w:rPr>
        <w:t>889</w:t>
      </w:r>
      <w:r w:rsidR="00EC28C0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,0 </w:t>
      </w:r>
      <w:proofErr w:type="spellStart"/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тис.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>грн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lang w:val="uk-UA"/>
        </w:rPr>
        <w:t>.</w:t>
      </w:r>
      <w:r w:rsidR="001A667E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</w:p>
    <w:p w:rsidR="00F12515" w:rsidRPr="009E3D55" w:rsidRDefault="0076443C" w:rsidP="001A667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1403E">
        <w:rPr>
          <w:rStyle w:val="a4"/>
          <w:rFonts w:ascii="Times New Roman" w:hAnsi="Times New Roman" w:cs="Times New Roman"/>
          <w:sz w:val="28"/>
          <w:u w:val="single"/>
          <w:lang w:val="uk-UA"/>
        </w:rPr>
        <w:t>-</w:t>
      </w:r>
      <w:r w:rsidR="00F12515" w:rsidRPr="00B1403E"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 інші операційні доходи</w:t>
      </w:r>
      <w:r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-</w:t>
      </w:r>
      <w:r w:rsidR="006F6F6E">
        <w:rPr>
          <w:rStyle w:val="a4"/>
          <w:rFonts w:ascii="Times New Roman" w:hAnsi="Times New Roman" w:cs="Times New Roman"/>
          <w:i w:val="0"/>
          <w:sz w:val="28"/>
          <w:lang w:val="uk-UA"/>
        </w:rPr>
        <w:t>120</w:t>
      </w:r>
      <w:r w:rsidR="00EC28C0">
        <w:rPr>
          <w:rStyle w:val="a4"/>
          <w:rFonts w:ascii="Times New Roman" w:hAnsi="Times New Roman" w:cs="Times New Roman"/>
          <w:i w:val="0"/>
          <w:sz w:val="28"/>
          <w:lang w:val="uk-UA"/>
        </w:rPr>
        <w:t>,0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proofErr w:type="spellStart"/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>тис.грн</w:t>
      </w:r>
      <w:proofErr w:type="spellEnd"/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-</w:t>
      </w:r>
      <w:r w:rsidR="00F12515" w:rsidRPr="009E3D55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компенсація за комунальні </w:t>
      </w:r>
      <w:r w:rsidR="00B304AD">
        <w:rPr>
          <w:rStyle w:val="a4"/>
          <w:rFonts w:ascii="Times New Roman" w:hAnsi="Times New Roman" w:cs="Times New Roman"/>
          <w:i w:val="0"/>
          <w:sz w:val="28"/>
          <w:lang w:val="uk-UA"/>
        </w:rPr>
        <w:t>послуги від орендарів</w:t>
      </w:r>
      <w:r w:rsidR="00F12515" w:rsidRPr="009E3D55">
        <w:rPr>
          <w:rFonts w:ascii="Times New Roman" w:eastAsia="Times New Roman" w:hAnsi="Times New Roman"/>
          <w:sz w:val="28"/>
          <w:szCs w:val="28"/>
          <w:lang w:val="uk-UA"/>
        </w:rPr>
        <w:t xml:space="preserve"> .</w:t>
      </w:r>
    </w:p>
    <w:p w:rsidR="00700D38" w:rsidRPr="00700B28" w:rsidRDefault="00700D38" w:rsidP="001A667E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3FCF" w:rsidRPr="0055178F" w:rsidRDefault="0055178F" w:rsidP="001A667E">
      <w:pPr>
        <w:pStyle w:val="a3"/>
        <w:numPr>
          <w:ilvl w:val="1"/>
          <w:numId w:val="1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 xml:space="preserve"> </w:t>
      </w:r>
      <w:r w:rsidR="009E3D55" w:rsidRPr="0055178F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Інші доходи</w:t>
      </w:r>
      <w:r w:rsidR="009E3D55" w:rsidRPr="005517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5178F">
        <w:rPr>
          <w:rFonts w:ascii="Times New Roman" w:hAnsi="Times New Roman"/>
          <w:b/>
          <w:i/>
          <w:sz w:val="28"/>
          <w:szCs w:val="28"/>
          <w:lang w:eastAsia="ru-RU"/>
        </w:rPr>
        <w:t xml:space="preserve">(рядок 1150) </w:t>
      </w:r>
      <w:r w:rsidR="009E3D55" w:rsidRPr="00CF05D9">
        <w:rPr>
          <w:rFonts w:ascii="Times New Roman" w:hAnsi="Times New Roman"/>
          <w:bCs/>
          <w:iCs/>
          <w:sz w:val="28"/>
          <w:szCs w:val="28"/>
        </w:rPr>
        <w:t>за звітний період склали</w:t>
      </w:r>
      <w:r w:rsidR="009E3D55" w:rsidRPr="0055178F">
        <w:rPr>
          <w:bCs/>
          <w:iCs/>
          <w:sz w:val="28"/>
          <w:szCs w:val="28"/>
        </w:rPr>
        <w:t xml:space="preserve"> </w:t>
      </w:r>
      <w:r w:rsidR="006F6F6E">
        <w:rPr>
          <w:rFonts w:ascii="Times New Roman" w:eastAsia="Times New Roman" w:hAnsi="Times New Roman"/>
          <w:sz w:val="28"/>
          <w:szCs w:val="28"/>
        </w:rPr>
        <w:t>509</w:t>
      </w:r>
      <w:r w:rsidR="00B304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304AD">
        <w:rPr>
          <w:rFonts w:ascii="Times New Roman" w:eastAsia="Times New Roman" w:hAnsi="Times New Roman"/>
          <w:sz w:val="28"/>
          <w:szCs w:val="28"/>
        </w:rPr>
        <w:t>тис.грн</w:t>
      </w:r>
      <w:proofErr w:type="spellEnd"/>
      <w:r w:rsidR="0076443C" w:rsidRPr="0055178F">
        <w:rPr>
          <w:rFonts w:ascii="Times New Roman" w:eastAsia="Times New Roman" w:hAnsi="Times New Roman"/>
          <w:sz w:val="28"/>
          <w:szCs w:val="28"/>
        </w:rPr>
        <w:t>.</w:t>
      </w:r>
      <w:r w:rsidRPr="0055178F">
        <w:rPr>
          <w:rFonts w:ascii="Times New Roman" w:hAnsi="Times New Roman"/>
          <w:sz w:val="28"/>
          <w:szCs w:val="28"/>
        </w:rPr>
        <w:t xml:space="preserve"> що </w:t>
      </w:r>
      <w:r w:rsidR="00B304AD">
        <w:rPr>
          <w:rFonts w:ascii="Times New Roman" w:hAnsi="Times New Roman"/>
          <w:sz w:val="28"/>
          <w:szCs w:val="28"/>
        </w:rPr>
        <w:t>менше</w:t>
      </w:r>
      <w:r w:rsidRPr="0055178F">
        <w:rPr>
          <w:rFonts w:ascii="Times New Roman" w:hAnsi="Times New Roman"/>
          <w:sz w:val="28"/>
          <w:szCs w:val="28"/>
        </w:rPr>
        <w:t xml:space="preserve"> плану  на </w:t>
      </w:r>
      <w:r w:rsidR="006F6F6E">
        <w:rPr>
          <w:rFonts w:ascii="Times New Roman" w:hAnsi="Times New Roman"/>
          <w:sz w:val="28"/>
          <w:szCs w:val="28"/>
        </w:rPr>
        <w:t>291</w:t>
      </w:r>
      <w:r w:rsidRPr="005517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78F">
        <w:rPr>
          <w:rFonts w:ascii="Times New Roman" w:hAnsi="Times New Roman"/>
          <w:sz w:val="28"/>
          <w:szCs w:val="28"/>
        </w:rPr>
        <w:t>тис.грн</w:t>
      </w:r>
      <w:proofErr w:type="spellEnd"/>
      <w:r w:rsidRPr="0055178F">
        <w:rPr>
          <w:rFonts w:ascii="Times New Roman" w:hAnsi="Times New Roman"/>
          <w:sz w:val="28"/>
          <w:szCs w:val="28"/>
        </w:rPr>
        <w:t xml:space="preserve">. </w:t>
      </w:r>
      <w:r w:rsidR="0076443C" w:rsidRPr="0055178F">
        <w:rPr>
          <w:rFonts w:ascii="Times New Roman" w:eastAsia="Times New Roman" w:hAnsi="Times New Roman"/>
          <w:sz w:val="28"/>
          <w:szCs w:val="28"/>
        </w:rPr>
        <w:t>це</w:t>
      </w:r>
      <w:r w:rsidR="00F12515" w:rsidRPr="0055178F">
        <w:rPr>
          <w:rFonts w:ascii="Times New Roman" w:eastAsia="Times New Roman" w:hAnsi="Times New Roman"/>
          <w:sz w:val="28"/>
          <w:szCs w:val="28"/>
        </w:rPr>
        <w:t xml:space="preserve"> доходи визнані у сумі амортизації, нарахованої по безоплатно отриманих активах. </w:t>
      </w:r>
    </w:p>
    <w:p w:rsidR="00600D74" w:rsidRPr="001A667E" w:rsidRDefault="0055178F" w:rsidP="001A667E">
      <w:pPr>
        <w:numPr>
          <w:ilvl w:val="0"/>
          <w:numId w:val="16"/>
        </w:numPr>
        <w:tabs>
          <w:tab w:val="left" w:pos="0"/>
        </w:tabs>
        <w:spacing w:after="0" w:line="240" w:lineRule="auto"/>
        <w:ind w:left="-567" w:right="28" w:firstLine="567"/>
        <w:contextualSpacing/>
        <w:jc w:val="both"/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val="uk-UA" w:eastAsia="zh-CN"/>
        </w:rPr>
      </w:pP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дохід від безоплатно одержаних активів - облік вартості безоплатно отриманих необоротних активів відноситься до додаткового капіталу і на дату придбання не визнається доходом </w:t>
      </w:r>
      <w:r w:rsidRPr="001A667E">
        <w:rPr>
          <w:rFonts w:ascii="Times New Roman" w:hAnsi="Times New Roman" w:cs="Times New Roman"/>
          <w:i/>
          <w:sz w:val="28"/>
          <w:szCs w:val="28"/>
          <w:lang w:val="uk-UA"/>
        </w:rPr>
        <w:t>(Д-т 10 «Основні засоби» – К-т 424 «Безоплатно одержані необоротні активи»).</w:t>
      </w: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 Амортизація в бухгалтерському обліку нараховується за час його експлуатації, починаючи з наступного місяця після зарахування на баланс </w:t>
      </w:r>
      <w:r w:rsidRPr="001A667E">
        <w:rPr>
          <w:rFonts w:ascii="Times New Roman" w:hAnsi="Times New Roman" w:cs="Times New Roman"/>
          <w:i/>
          <w:sz w:val="28"/>
          <w:szCs w:val="28"/>
          <w:lang w:val="uk-UA"/>
        </w:rPr>
        <w:t>(Д-т 23 (91,92,93,94) – К-т 131 «Знос основних засобів»).</w:t>
      </w:r>
      <w:r w:rsidRPr="001A667E">
        <w:rPr>
          <w:rFonts w:ascii="Times New Roman" w:hAnsi="Times New Roman" w:cs="Times New Roman"/>
          <w:sz w:val="28"/>
          <w:szCs w:val="28"/>
          <w:lang w:val="uk-UA"/>
        </w:rPr>
        <w:t xml:space="preserve"> Згідно з вимогами Плану рахунків, залишок додаткового капіталу на субрахунку 424 зменшується на суму визнаного доходу протягом строку корисного використання безоплатно отриманих об'єктів необоротних активів і при їх вибутті. Дохід в бухгалтерському обліку відображається на субрахунку 745 «Дохід від безоплатно отриманих активів» в сумі амортизації такого ОЗ одночасно з її нарахуванням. Підприємству були безоплатно передані необоротні активи від підприємств та організацій.</w:t>
      </w:r>
      <w:r w:rsidR="00600D74" w:rsidRPr="001A667E">
        <w:rPr>
          <w:rStyle w:val="a4"/>
          <w:rFonts w:ascii="Times New Roman" w:eastAsia="Times New Roman" w:hAnsi="Times New Roman" w:cs="Times New Roman"/>
          <w:b/>
          <w:i w:val="0"/>
          <w:sz w:val="28"/>
          <w:szCs w:val="24"/>
          <w:lang w:val="uk-UA" w:eastAsia="zh-CN"/>
        </w:rPr>
        <w:br w:type="page"/>
      </w:r>
    </w:p>
    <w:p w:rsidR="00700B28" w:rsidRDefault="0055178F" w:rsidP="000002E4">
      <w:pPr>
        <w:pStyle w:val="a5"/>
        <w:numPr>
          <w:ilvl w:val="0"/>
          <w:numId w:val="7"/>
        </w:numPr>
        <w:tabs>
          <w:tab w:val="left" w:pos="9923"/>
        </w:tabs>
        <w:spacing w:after="0"/>
        <w:ind w:right="312"/>
        <w:contextualSpacing/>
        <w:rPr>
          <w:rStyle w:val="a4"/>
          <w:rFonts w:ascii="Times New Roman" w:hAnsi="Times New Roman"/>
          <w:b/>
          <w:sz w:val="28"/>
          <w:szCs w:val="28"/>
          <w:lang w:val="uk-UA"/>
        </w:rPr>
      </w:pPr>
      <w:r w:rsidRPr="0055178F">
        <w:rPr>
          <w:rStyle w:val="a4"/>
          <w:rFonts w:ascii="Times New Roman" w:hAnsi="Times New Roman"/>
          <w:b/>
          <w:sz w:val="28"/>
          <w:szCs w:val="28"/>
          <w:lang w:val="uk-UA"/>
        </w:rPr>
        <w:lastRenderedPageBreak/>
        <w:t xml:space="preserve">ФОРМУВАННЯ ВИТРАТНОЇ  ЧАСТИНИ ФІНАНСОВОГО ПЛАНУ </w:t>
      </w:r>
      <w:r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ЗА </w:t>
      </w:r>
      <w:r w:rsidR="007855DA" w:rsidRPr="007855DA">
        <w:rPr>
          <w:rFonts w:ascii="Times New Roman" w:hAnsi="Times New Roman"/>
          <w:b/>
          <w:i/>
          <w:sz w:val="28"/>
          <w:szCs w:val="28"/>
          <w:lang w:val="en-US"/>
        </w:rPr>
        <w:t>IV</w:t>
      </w:r>
      <w:r w:rsidR="007855DA" w:rsidRPr="007855DA">
        <w:rPr>
          <w:rFonts w:ascii="Times New Roman" w:hAnsi="Times New Roman"/>
          <w:b/>
          <w:i/>
          <w:sz w:val="28"/>
          <w:szCs w:val="28"/>
        </w:rPr>
        <w:t xml:space="preserve"> КВАРТАЛ</w:t>
      </w:r>
      <w:r w:rsidRPr="0055178F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 2021 РІК</w:t>
      </w:r>
    </w:p>
    <w:p w:rsidR="001C6B0E" w:rsidRDefault="006C7C6B" w:rsidP="006C7C6B">
      <w:pPr>
        <w:pStyle w:val="a3"/>
        <w:spacing w:after="0" w:line="240" w:lineRule="auto"/>
        <w:ind w:left="-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2540</wp:posOffset>
            </wp:positionV>
            <wp:extent cx="4338955" cy="2703195"/>
            <wp:effectExtent l="19050" t="0" r="23495" b="1905"/>
            <wp:wrapSquare wrapText="bothSides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C6B0E" w:rsidRPr="00384BEB">
        <w:rPr>
          <w:rFonts w:ascii="Times New Roman" w:hAnsi="Times New Roman"/>
          <w:sz w:val="28"/>
          <w:szCs w:val="28"/>
        </w:rPr>
        <w:t xml:space="preserve">Витрати операційної діяльності </w:t>
      </w:r>
      <w:r w:rsidR="00916E26">
        <w:rPr>
          <w:rFonts w:ascii="Times New Roman" w:hAnsi="Times New Roman"/>
          <w:sz w:val="28"/>
          <w:szCs w:val="28"/>
        </w:rPr>
        <w:t xml:space="preserve">за </w:t>
      </w:r>
      <w:r w:rsidR="00916E26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916E26" w:rsidRPr="009227D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6E26" w:rsidRPr="009227D6">
        <w:rPr>
          <w:rFonts w:ascii="Times New Roman" w:hAnsi="Times New Roman"/>
          <w:sz w:val="28"/>
          <w:szCs w:val="28"/>
        </w:rPr>
        <w:t>квартал</w:t>
      </w:r>
      <w:r w:rsidR="00916E26">
        <w:rPr>
          <w:rFonts w:ascii="Times New Roman" w:eastAsia="Times New Roman" w:hAnsi="Times New Roman"/>
          <w:sz w:val="28"/>
          <w:szCs w:val="28"/>
        </w:rPr>
        <w:t xml:space="preserve"> </w:t>
      </w:r>
      <w:r w:rsidR="001C6B0E" w:rsidRPr="00384BEB">
        <w:rPr>
          <w:rFonts w:ascii="Times New Roman" w:hAnsi="Times New Roman"/>
          <w:sz w:val="28"/>
          <w:szCs w:val="28"/>
        </w:rPr>
        <w:t>202</w:t>
      </w:r>
      <w:r w:rsidR="001C6B0E">
        <w:rPr>
          <w:rFonts w:ascii="Times New Roman" w:hAnsi="Times New Roman"/>
          <w:sz w:val="28"/>
          <w:szCs w:val="28"/>
        </w:rPr>
        <w:t>1</w:t>
      </w:r>
      <w:r w:rsidR="001C6B0E" w:rsidRPr="00384BEB">
        <w:rPr>
          <w:rFonts w:ascii="Times New Roman" w:hAnsi="Times New Roman"/>
          <w:sz w:val="28"/>
          <w:szCs w:val="28"/>
        </w:rPr>
        <w:t xml:space="preserve"> рік у </w:t>
      </w:r>
      <w:r w:rsidR="00C15302">
        <w:rPr>
          <w:rFonts w:ascii="Times New Roman" w:hAnsi="Times New Roman"/>
          <w:sz w:val="28"/>
          <w:szCs w:val="28"/>
        </w:rPr>
        <w:t>ф</w:t>
      </w:r>
      <w:r w:rsidR="001C6B0E" w:rsidRPr="00384BEB">
        <w:rPr>
          <w:rFonts w:ascii="Times New Roman" w:hAnsi="Times New Roman"/>
          <w:sz w:val="28"/>
          <w:szCs w:val="28"/>
        </w:rPr>
        <w:t>інансовому плані сформовано з урахуванням облікових даних щодо фактичного використання матеріалів, пального, виробів медичного призначення,інших оборотних активів у 20</w:t>
      </w:r>
      <w:r w:rsidR="001C6B0E">
        <w:rPr>
          <w:rFonts w:ascii="Times New Roman" w:hAnsi="Times New Roman"/>
          <w:sz w:val="28"/>
          <w:szCs w:val="28"/>
        </w:rPr>
        <w:t xml:space="preserve">20 </w:t>
      </w:r>
      <w:r w:rsidR="000E61B8">
        <w:rPr>
          <w:rFonts w:ascii="Times New Roman" w:hAnsi="Times New Roman"/>
          <w:sz w:val="28"/>
          <w:szCs w:val="28"/>
        </w:rPr>
        <w:t>р.</w:t>
      </w:r>
      <w:r w:rsidR="002B1AEB" w:rsidRPr="002B1AEB">
        <w:t xml:space="preserve"> </w:t>
      </w:r>
    </w:p>
    <w:p w:rsidR="0055178F" w:rsidRDefault="001847A8" w:rsidP="006C7C6B">
      <w:pPr>
        <w:pStyle w:val="a5"/>
        <w:tabs>
          <w:tab w:val="left" w:pos="9923"/>
        </w:tabs>
        <w:spacing w:after="0"/>
        <w:ind w:left="-567" w:right="28" w:firstLine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0B28">
        <w:rPr>
          <w:rFonts w:ascii="Times New Roman" w:hAnsi="Times New Roman"/>
          <w:sz w:val="28"/>
          <w:szCs w:val="28"/>
          <w:lang w:val="uk-UA"/>
        </w:rPr>
        <w:t>Підприємств</w:t>
      </w:r>
      <w:r w:rsidR="004E4D73">
        <w:rPr>
          <w:rFonts w:ascii="Times New Roman" w:hAnsi="Times New Roman"/>
          <w:sz w:val="28"/>
          <w:szCs w:val="28"/>
          <w:lang w:val="uk-UA"/>
        </w:rPr>
        <w:t>ом</w:t>
      </w:r>
      <w:r w:rsidRPr="00700B28">
        <w:rPr>
          <w:rFonts w:ascii="Times New Roman" w:hAnsi="Times New Roman"/>
          <w:sz w:val="28"/>
          <w:szCs w:val="28"/>
        </w:rPr>
        <w:t xml:space="preserve"> проведено </w:t>
      </w:r>
      <w:r w:rsidR="004E4D73">
        <w:rPr>
          <w:rFonts w:ascii="Times New Roman" w:hAnsi="Times New Roman"/>
          <w:sz w:val="28"/>
          <w:szCs w:val="28"/>
          <w:lang w:val="uk-UA"/>
        </w:rPr>
        <w:t xml:space="preserve">розрахунки </w:t>
      </w:r>
      <w:r w:rsidRPr="00700B28">
        <w:rPr>
          <w:rFonts w:ascii="Times New Roman" w:hAnsi="Times New Roman"/>
          <w:sz w:val="28"/>
          <w:szCs w:val="28"/>
        </w:rPr>
        <w:t xml:space="preserve">у межах </w:t>
      </w:r>
      <w:proofErr w:type="spellStart"/>
      <w:r w:rsidRPr="00700B28">
        <w:rPr>
          <w:rFonts w:ascii="Times New Roman" w:hAnsi="Times New Roman"/>
          <w:sz w:val="28"/>
          <w:szCs w:val="28"/>
        </w:rPr>
        <w:t>сум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00B28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на 20</w:t>
      </w:r>
      <w:r w:rsidRPr="00700B2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00B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0B28">
        <w:rPr>
          <w:rFonts w:ascii="Times New Roman" w:hAnsi="Times New Roman"/>
          <w:sz w:val="28"/>
          <w:szCs w:val="28"/>
        </w:rPr>
        <w:t>рік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</w:t>
      </w:r>
      <w:r w:rsidR="004E4D73">
        <w:rPr>
          <w:rFonts w:ascii="Times New Roman" w:hAnsi="Times New Roman"/>
          <w:sz w:val="28"/>
          <w:szCs w:val="28"/>
          <w:lang w:val="uk-UA"/>
        </w:rPr>
        <w:t>ф</w:t>
      </w:r>
      <w:proofErr w:type="spellStart"/>
      <w:r w:rsidRPr="00700B28">
        <w:rPr>
          <w:rFonts w:ascii="Times New Roman" w:hAnsi="Times New Roman"/>
          <w:sz w:val="28"/>
          <w:szCs w:val="28"/>
        </w:rPr>
        <w:t>інансовим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планом. При </w:t>
      </w:r>
      <w:proofErr w:type="spellStart"/>
      <w:r w:rsidRPr="00700B28">
        <w:rPr>
          <w:rFonts w:ascii="Times New Roman" w:hAnsi="Times New Roman"/>
          <w:sz w:val="28"/>
          <w:szCs w:val="28"/>
        </w:rPr>
        <w:t>цьому</w:t>
      </w:r>
      <w:proofErr w:type="spellEnd"/>
      <w:r w:rsidRPr="00700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 xml:space="preserve"> </w:t>
      </w:r>
      <w:r w:rsid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у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 xml:space="preserve">сього витрати </w:t>
      </w:r>
      <w:proofErr w:type="gramStart"/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П</w:t>
      </w:r>
      <w:proofErr w:type="gramEnd"/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ідприємства</w:t>
      </w:r>
      <w:r w:rsidR="0055178F" w:rsidRPr="0055178F">
        <w:rPr>
          <w:rFonts w:ascii="Times New Roman" w:hAnsi="Times New Roman"/>
          <w:b/>
          <w:color w:val="FF0000"/>
          <w:sz w:val="28"/>
          <w:szCs w:val="28"/>
          <w:lang w:val="uk-UA" w:eastAsia="ru-RU"/>
        </w:rPr>
        <w:t xml:space="preserve"> </w:t>
      </w:r>
      <w:r w:rsidR="0055178F" w:rsidRPr="0055178F">
        <w:rPr>
          <w:rFonts w:ascii="Times New Roman" w:hAnsi="Times New Roman"/>
          <w:b/>
          <w:i/>
          <w:color w:val="FF0000"/>
          <w:sz w:val="28"/>
          <w:szCs w:val="28"/>
          <w:lang w:val="uk-UA" w:eastAsia="ru-RU"/>
        </w:rPr>
        <w:t>(рядок 1220)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178F">
        <w:rPr>
          <w:rFonts w:ascii="Times New Roman" w:hAnsi="Times New Roman"/>
          <w:sz w:val="28"/>
          <w:szCs w:val="28"/>
          <w:lang w:val="uk-UA" w:eastAsia="ru-RU"/>
        </w:rPr>
        <w:t>за</w:t>
      </w:r>
      <w:r w:rsidR="00916E2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6E26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916E26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2021 рік </w:t>
      </w:r>
      <w:r w:rsidR="0055178F">
        <w:rPr>
          <w:rFonts w:ascii="Times New Roman" w:hAnsi="Times New Roman"/>
          <w:sz w:val="28"/>
          <w:szCs w:val="28"/>
          <w:lang w:val="uk-UA" w:eastAsia="ru-RU"/>
        </w:rPr>
        <w:t>склали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6E26">
        <w:rPr>
          <w:rFonts w:ascii="Times New Roman" w:hAnsi="Times New Roman"/>
          <w:sz w:val="28"/>
          <w:szCs w:val="28"/>
          <w:lang w:val="uk-UA" w:eastAsia="ru-RU"/>
        </w:rPr>
        <w:t>12209</w:t>
      </w:r>
      <w:r w:rsidR="000C1E44">
        <w:rPr>
          <w:rFonts w:ascii="Times New Roman" w:hAnsi="Times New Roman"/>
          <w:sz w:val="28"/>
          <w:szCs w:val="28"/>
          <w:lang w:val="uk-UA" w:eastAsia="ru-RU"/>
        </w:rPr>
        <w:t>,0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., що 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>становить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16E26">
        <w:rPr>
          <w:rFonts w:ascii="Times New Roman" w:hAnsi="Times New Roman"/>
          <w:sz w:val="28"/>
          <w:szCs w:val="28"/>
          <w:lang w:val="uk-UA" w:eastAsia="ru-RU"/>
        </w:rPr>
        <w:t xml:space="preserve">104,8 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% плану на  </w:t>
      </w:r>
      <w:r w:rsidR="000E61B8">
        <w:rPr>
          <w:rFonts w:ascii="Times New Roman" w:hAnsi="Times New Roman"/>
          <w:sz w:val="28"/>
          <w:szCs w:val="28"/>
          <w:lang w:val="uk-UA" w:eastAsia="ru-RU"/>
        </w:rPr>
        <w:t>поточний період.</w:t>
      </w:r>
      <w:r w:rsidR="0055178F" w:rsidRPr="0055178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5178F" w:rsidRPr="0055178F" w:rsidRDefault="0055178F" w:rsidP="00086678">
      <w:pPr>
        <w:tabs>
          <w:tab w:val="left" w:pos="0"/>
        </w:tabs>
        <w:spacing w:after="0" w:line="240" w:lineRule="auto"/>
        <w:ind w:left="786" w:right="2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78F"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</w:t>
      </w:r>
      <w:r w:rsidR="000002E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55178F">
        <w:rPr>
          <w:rFonts w:ascii="Times New Roman" w:hAnsi="Times New Roman" w:cs="Times New Roman"/>
          <w:b/>
          <w:sz w:val="28"/>
          <w:szCs w:val="28"/>
          <w:lang w:val="uk-UA"/>
        </w:rPr>
        <w:t>т Підприємства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9227D6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676B63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676B63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квартал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227D6" w:rsidRPr="00676B63" w:rsidTr="00700D38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left="-108" w:right="-10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Усього витрат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1220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(11 648)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(12 209)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(561)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Собівартість реалізованої продукції </w:t>
            </w:r>
            <w:r w:rsidRPr="0055178F">
              <w:rPr>
                <w:rFonts w:ascii="Times New Roman" w:hAnsi="Times New Roman" w:cs="Times New Roman"/>
                <w:szCs w:val="28"/>
                <w:lang w:val="uk-UA"/>
              </w:rPr>
              <w:t>(товарів, робіт, послуг)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(9 802)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(10 066)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Адміністративні витрати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(3 949)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(1 109)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(1 134)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left="-108" w:right="-106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витрати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086678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(10 060)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(3 128)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(737)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(1 009)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9227D6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7D6">
              <w:rPr>
                <w:rFonts w:ascii="Times New Roman" w:hAnsi="Times New Roman" w:cs="Times New Roman"/>
                <w:sz w:val="24"/>
                <w:szCs w:val="24"/>
              </w:rPr>
              <w:t>136,9</w:t>
            </w:r>
          </w:p>
        </w:tc>
      </w:tr>
    </w:tbl>
    <w:p w:rsidR="00435790" w:rsidRPr="0055178F" w:rsidRDefault="00435790" w:rsidP="00086678">
      <w:pPr>
        <w:spacing w:after="0" w:line="240" w:lineRule="auto"/>
        <w:contextualSpacing/>
        <w:rPr>
          <w:rFonts w:ascii="Times New Roman" w:hAnsi="Times New Roman" w:cs="Times New Roman"/>
          <w:lang w:val="uk-UA"/>
        </w:rPr>
      </w:pPr>
    </w:p>
    <w:p w:rsidR="001847A8" w:rsidRDefault="0055178F" w:rsidP="0008667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5.1. </w:t>
      </w:r>
      <w:r w:rsidR="001C6B0E" w:rsidRPr="0055178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Собівартість реалізованої продукції (товарів, робіт та послуг)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178F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(рядок 1010)</w:t>
      </w:r>
      <w:r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у складі усіх витрат </w:t>
      </w:r>
      <w:r w:rsidR="00A02AC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1C6B0E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1530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07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="00A02A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до плану витрат на</w:t>
      </w:r>
      <w:r w:rsidR="001C6B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B0E" w:rsidRPr="0055178F">
        <w:rPr>
          <w:rFonts w:ascii="Times New Roman" w:hAnsi="Times New Roman" w:cs="Times New Roman"/>
          <w:sz w:val="28"/>
          <w:szCs w:val="28"/>
          <w:lang w:val="uk-UA"/>
        </w:rPr>
        <w:t>2021 рік</w:t>
      </w:r>
      <w:r w:rsidR="001C6B0E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склала </w:t>
      </w:r>
      <w:r w:rsidR="000F070A">
        <w:rPr>
          <w:rFonts w:ascii="Times New Roman" w:eastAsia="Times New Roman" w:hAnsi="Times New Roman" w:cs="Times New Roman"/>
          <w:sz w:val="28"/>
          <w:szCs w:val="28"/>
          <w:lang w:val="uk-UA"/>
        </w:rPr>
        <w:t>10066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. (</w:t>
      </w:r>
      <w:r w:rsidR="000F070A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2ACF">
        <w:rPr>
          <w:rFonts w:ascii="Times New Roman" w:eastAsia="Times New Roman" w:hAnsi="Times New Roman" w:cs="Times New Roman"/>
          <w:sz w:val="28"/>
          <w:szCs w:val="28"/>
          <w:lang w:val="uk-UA"/>
        </w:rPr>
        <w:t>% від суми витрат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F070A">
        <w:rPr>
          <w:rFonts w:ascii="Times New Roman" w:eastAsia="Times New Roman" w:hAnsi="Times New Roman" w:cs="Times New Roman"/>
          <w:sz w:val="28"/>
          <w:szCs w:val="28"/>
          <w:lang w:val="uk-UA"/>
        </w:rPr>
        <w:t>102,7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запланованої </w:t>
      </w:r>
      <w:r w:rsidR="001847A8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собівартості медичної послуги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на 20</w:t>
      </w:r>
      <w:r w:rsidR="001847A8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 суми), </w:t>
      </w:r>
    </w:p>
    <w:tbl>
      <w:tblPr>
        <w:tblW w:w="11057" w:type="dxa"/>
        <w:tblInd w:w="-1026" w:type="dxa"/>
        <w:tblLayout w:type="fixed"/>
        <w:tblLook w:val="04A0"/>
      </w:tblPr>
      <w:tblGrid>
        <w:gridCol w:w="3686"/>
        <w:gridCol w:w="792"/>
        <w:gridCol w:w="1131"/>
        <w:gridCol w:w="1134"/>
        <w:gridCol w:w="912"/>
        <w:gridCol w:w="992"/>
        <w:gridCol w:w="1276"/>
        <w:gridCol w:w="1134"/>
      </w:tblGrid>
      <w:tr w:rsidR="009227D6" w:rsidRPr="00676B63" w:rsidTr="00700D38">
        <w:trPr>
          <w:trHeight w:val="78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676B63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676B63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квартал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227D6" w:rsidRPr="00676B63" w:rsidTr="00700D38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0866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E061B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1C6B0E" w:rsidRPr="00676B63" w:rsidTr="00700D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B0E" w:rsidRPr="00676B63" w:rsidRDefault="001C6B0E" w:rsidP="000866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B0E" w:rsidRPr="00676B63" w:rsidRDefault="001C6B0E" w:rsidP="00000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2D515E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Собівартість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реалізованої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продукції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товарі</w:t>
            </w:r>
            <w:proofErr w:type="gram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proofErr w:type="spellEnd"/>
            <w:proofErr w:type="gram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робіт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, </w:t>
            </w:r>
            <w:proofErr w:type="spellStart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послуг</w:t>
            </w:r>
            <w:proofErr w:type="spellEnd"/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2D515E" w:rsidRDefault="00F51C93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D5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(17 984)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(37 745)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(9 802)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(10 066)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(264)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E061B2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сировину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іали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(1 828)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(6 555)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(2 363)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(2 649)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112,1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паливо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паливо-мастильні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матеріали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(194)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(256)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(126)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(66)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52,4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електроенергію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опаленя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та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інші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ком</w:t>
            </w:r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.п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ослуги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(2 391)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(634)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(900)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(266)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142,0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оплату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праці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(11 535)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(20 694)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(5 064)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(4 775)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94,3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Відрахування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соц</w:t>
            </w:r>
            <w:proofErr w:type="gram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іальні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заходи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(2 523)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(4 630)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(1 100)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(1 081)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98,3</w:t>
            </w:r>
          </w:p>
        </w:tc>
      </w:tr>
      <w:tr w:rsidR="00F51C93" w:rsidRPr="00676B63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C57CD8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Амортизація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основних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засобів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і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нематеріальних</w:t>
            </w:r>
            <w:proofErr w:type="spellEnd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активі</w:t>
            </w:r>
            <w:proofErr w:type="gramStart"/>
            <w:r w:rsidRPr="00C57CD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(1 322)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(2 331)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(343)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(578)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(235)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168,5</w:t>
            </w:r>
          </w:p>
        </w:tc>
      </w:tr>
      <w:tr w:rsidR="00F51C93" w:rsidRPr="00B73FCB" w:rsidTr="00700D38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B73FCB" w:rsidRDefault="00F51C93" w:rsidP="00086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>Інші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(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на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послуги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сторонніх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організацій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витрати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gram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на</w:t>
            </w:r>
            <w:proofErr w:type="gram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відрядження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персоналу, </w:t>
            </w:r>
            <w:proofErr w:type="spellStart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тощо</w:t>
            </w:r>
            <w:proofErr w:type="spellEnd"/>
            <w:r w:rsidRPr="00B73FC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E57DE6" w:rsidRDefault="00F51C93" w:rsidP="00086B27">
            <w:pPr>
              <w:spacing w:after="0" w:line="240" w:lineRule="auto"/>
              <w:ind w:left="-108" w:right="-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E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(582)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(888)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(172)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(17)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F51C93">
            <w:pPr>
              <w:spacing w:after="0" w:line="240" w:lineRule="auto"/>
              <w:ind w:left="-51" w:right="-170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9,9</w:t>
            </w:r>
          </w:p>
        </w:tc>
      </w:tr>
    </w:tbl>
    <w:p w:rsidR="000F070A" w:rsidRDefault="000F070A" w:rsidP="006C7C6B">
      <w:pPr>
        <w:pStyle w:val="ae"/>
        <w:spacing w:line="240" w:lineRule="auto"/>
        <w:ind w:left="-709" w:firstLine="709"/>
        <w:contextualSpacing/>
        <w:rPr>
          <w:bCs/>
          <w:iCs/>
          <w:sz w:val="28"/>
          <w:szCs w:val="28"/>
        </w:rPr>
      </w:pPr>
    </w:p>
    <w:p w:rsidR="00372651" w:rsidRPr="00E57DE6" w:rsidRDefault="00CF05D9" w:rsidP="006C7C6B">
      <w:pPr>
        <w:pStyle w:val="ae"/>
        <w:spacing w:line="240" w:lineRule="auto"/>
        <w:ind w:left="-709" w:firstLine="709"/>
        <w:contextualSpacing/>
        <w:rPr>
          <w:rStyle w:val="a4"/>
          <w:i w:val="0"/>
          <w:sz w:val="28"/>
        </w:rPr>
      </w:pPr>
      <w:r w:rsidRPr="00F82EF3">
        <w:rPr>
          <w:bCs/>
          <w:iCs/>
          <w:sz w:val="28"/>
          <w:szCs w:val="28"/>
        </w:rPr>
        <w:t>З</w:t>
      </w:r>
      <w:r w:rsidR="000F070A" w:rsidRPr="000F070A">
        <w:rPr>
          <w:bCs/>
          <w:iCs/>
          <w:sz w:val="28"/>
          <w:szCs w:val="28"/>
        </w:rPr>
        <w:t xml:space="preserve">більшення </w:t>
      </w:r>
      <w:r w:rsidR="001847A8" w:rsidRPr="00F82EF3">
        <w:rPr>
          <w:bCs/>
          <w:iCs/>
          <w:sz w:val="28"/>
          <w:szCs w:val="28"/>
        </w:rPr>
        <w:t xml:space="preserve">собівартості реалізованої продукції (товарів, робіт, послуг) за </w:t>
      </w:r>
      <w:r w:rsidR="001847A8" w:rsidRPr="000F070A">
        <w:rPr>
          <w:bCs/>
          <w:iCs/>
          <w:sz w:val="28"/>
          <w:szCs w:val="28"/>
        </w:rPr>
        <w:t xml:space="preserve">звітний період  відносно плану  склало </w:t>
      </w:r>
      <w:r w:rsidR="000F070A">
        <w:rPr>
          <w:bCs/>
          <w:iCs/>
          <w:sz w:val="28"/>
          <w:szCs w:val="28"/>
        </w:rPr>
        <w:t>286</w:t>
      </w:r>
      <w:r w:rsidR="0042768A" w:rsidRPr="000F070A">
        <w:rPr>
          <w:bCs/>
          <w:iCs/>
          <w:sz w:val="28"/>
          <w:szCs w:val="28"/>
        </w:rPr>
        <w:t xml:space="preserve"> тис. грн., </w:t>
      </w:r>
      <w:r w:rsidR="00E57DE6" w:rsidRPr="000F070A">
        <w:rPr>
          <w:bCs/>
          <w:iCs/>
          <w:sz w:val="28"/>
          <w:szCs w:val="28"/>
        </w:rPr>
        <w:t xml:space="preserve">що становить </w:t>
      </w:r>
      <w:r w:rsidR="000F070A">
        <w:rPr>
          <w:bCs/>
          <w:iCs/>
          <w:sz w:val="28"/>
          <w:szCs w:val="28"/>
        </w:rPr>
        <w:t>112,1</w:t>
      </w:r>
      <w:r w:rsidR="00E57DE6" w:rsidRPr="000F070A">
        <w:rPr>
          <w:bCs/>
          <w:iCs/>
          <w:sz w:val="28"/>
          <w:szCs w:val="28"/>
        </w:rPr>
        <w:t>%</w:t>
      </w:r>
      <w:r w:rsidR="00E57DE6" w:rsidRPr="00E57DE6">
        <w:rPr>
          <w:bCs/>
          <w:iCs/>
          <w:sz w:val="28"/>
          <w:szCs w:val="28"/>
        </w:rPr>
        <w:t xml:space="preserve"> виконання плану.</w:t>
      </w:r>
    </w:p>
    <w:p w:rsidR="00B73FCB" w:rsidRPr="00F82EF3" w:rsidRDefault="00B73FCB" w:rsidP="006C7C6B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7356F5" w:rsidRDefault="001C6B0E" w:rsidP="006C7C6B">
      <w:pPr>
        <w:spacing w:after="0" w:line="240" w:lineRule="auto"/>
        <w:ind w:left="-709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5.2. </w:t>
      </w:r>
      <w:r w:rsidR="001847A8" w:rsidRPr="00D92D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Адміністративні </w:t>
      </w:r>
      <w:r w:rsidR="00D92D8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витрати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5178F">
        <w:rPr>
          <w:rFonts w:ascii="Times New Roman" w:hAnsi="Times New Roman" w:cs="Times New Roman"/>
          <w:b/>
          <w:i/>
          <w:sz w:val="28"/>
          <w:szCs w:val="28"/>
          <w:lang w:val="uk-UA"/>
        </w:rPr>
        <w:t>(рядок 1030)</w:t>
      </w:r>
      <w:r w:rsidRPr="0055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2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склали </w:t>
      </w:r>
      <w:r w:rsidR="00F616B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3089">
        <w:rPr>
          <w:rFonts w:ascii="Times New Roman" w:eastAsia="Times New Roman" w:hAnsi="Times New Roman" w:cs="Times New Roman"/>
          <w:sz w:val="28"/>
          <w:szCs w:val="28"/>
          <w:lang w:val="uk-UA"/>
        </w:rPr>
        <w:t>1134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, що </w:t>
      </w:r>
      <w:proofErr w:type="spellStart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>становит</w:t>
      </w:r>
      <w:proofErr w:type="spellEnd"/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308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12C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від суми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 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23089">
        <w:rPr>
          <w:rFonts w:ascii="Times New Roman" w:eastAsia="Times New Roman" w:hAnsi="Times New Roman" w:cs="Times New Roman"/>
          <w:sz w:val="28"/>
          <w:szCs w:val="28"/>
          <w:lang w:val="uk-UA"/>
        </w:rPr>
        <w:t>102,2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% запланованих витрат на </w:t>
      </w:r>
      <w:r w:rsidR="00F616BB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 період</w:t>
      </w:r>
      <w:r w:rsidR="001847A8" w:rsidRPr="001847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2DDD" w:rsidRPr="00086678" w:rsidRDefault="00722DDD" w:rsidP="006C7C6B">
      <w:pPr>
        <w:spacing w:after="0" w:line="240" w:lineRule="auto"/>
        <w:ind w:left="-709"/>
        <w:contextualSpacing/>
        <w:rPr>
          <w:rFonts w:ascii="Times New Roman" w:hAnsi="Times New Roman" w:cs="Times New Roman"/>
          <w:lang w:val="uk-UA" w:eastAsia="zh-CN"/>
        </w:rPr>
      </w:pPr>
    </w:p>
    <w:p w:rsidR="00E12C5A" w:rsidRPr="00086678" w:rsidRDefault="001C6B0E" w:rsidP="006C7C6B">
      <w:pPr>
        <w:pStyle w:val="a5"/>
        <w:spacing w:after="0"/>
        <w:ind w:left="-709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5.3. 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Інші</w:t>
      </w:r>
      <w:r w:rsidR="00E12C5A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 операційн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</w:t>
      </w:r>
      <w:r w:rsidR="00E12C5A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 xml:space="preserve"> витрат</w:t>
      </w:r>
      <w:r w:rsidR="007356F5" w:rsidRPr="00086678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и</w:t>
      </w:r>
      <w:r w:rsidR="00A1582F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1582F" w:rsidRPr="00A1582F">
        <w:rPr>
          <w:rStyle w:val="a4"/>
          <w:rFonts w:ascii="Times New Roman" w:hAnsi="Times New Roman"/>
          <w:i w:val="0"/>
          <w:color w:val="FF0000"/>
          <w:sz w:val="28"/>
          <w:szCs w:val="28"/>
          <w:lang w:val="uk-UA"/>
        </w:rPr>
        <w:t>п</w:t>
      </w:r>
      <w:r w:rsidR="00A1582F" w:rsidRPr="00A1582F">
        <w:rPr>
          <w:rStyle w:val="a4"/>
          <w:rFonts w:ascii="Times New Roman" w:hAnsi="Times New Roman"/>
          <w:b/>
          <w:i w:val="0"/>
          <w:color w:val="FF0000"/>
          <w:sz w:val="28"/>
          <w:szCs w:val="28"/>
          <w:lang w:val="uk-UA"/>
        </w:rPr>
        <w:t>ідприємств</w:t>
      </w:r>
      <w:r w:rsidR="00A1582F" w:rsidRPr="00A1582F">
        <w:rPr>
          <w:rStyle w:val="a4"/>
          <w:rFonts w:ascii="Times New Roman" w:hAnsi="Times New Roman"/>
          <w:i w:val="0"/>
          <w:color w:val="FF0000"/>
          <w:sz w:val="28"/>
          <w:szCs w:val="28"/>
          <w:lang w:val="uk-UA"/>
        </w:rPr>
        <w:t xml:space="preserve">а </w:t>
      </w:r>
      <w:r w:rsidR="00712C82" w:rsidRPr="00712C82">
        <w:rPr>
          <w:rStyle w:val="a4"/>
          <w:rFonts w:ascii="Times New Roman" w:hAnsi="Times New Roman"/>
          <w:b/>
          <w:sz w:val="28"/>
          <w:szCs w:val="28"/>
          <w:lang w:val="uk-UA"/>
        </w:rPr>
        <w:t xml:space="preserve">(рядок 1080) </w:t>
      </w:r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становлять </w:t>
      </w:r>
      <w:r w:rsidR="00423089">
        <w:rPr>
          <w:rStyle w:val="a4"/>
          <w:rFonts w:ascii="Times New Roman" w:hAnsi="Times New Roman"/>
          <w:i w:val="0"/>
          <w:sz w:val="28"/>
          <w:szCs w:val="28"/>
          <w:lang w:val="uk-UA"/>
        </w:rPr>
        <w:t>1009</w:t>
      </w:r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,0 </w:t>
      </w:r>
      <w:proofErr w:type="spellStart"/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що </w:t>
      </w:r>
      <w:r w:rsidR="00F616BB" w:rsidRPr="00086678">
        <w:rPr>
          <w:rFonts w:ascii="Times New Roman" w:hAnsi="Times New Roman"/>
          <w:sz w:val="28"/>
          <w:szCs w:val="28"/>
          <w:lang w:val="uk-UA" w:eastAsia="ru-RU"/>
        </w:rPr>
        <w:t>більше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 планового показника фінансового плану на</w:t>
      </w:r>
      <w:r w:rsidR="00086B2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23089">
        <w:rPr>
          <w:rFonts w:ascii="Times New Roman" w:hAnsi="Times New Roman"/>
          <w:sz w:val="28"/>
          <w:szCs w:val="28"/>
          <w:lang w:val="uk-UA" w:eastAsia="ru-RU"/>
        </w:rPr>
        <w:t>272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,0 </w:t>
      </w:r>
      <w:proofErr w:type="spellStart"/>
      <w:r w:rsidRPr="00086678">
        <w:rPr>
          <w:rFonts w:ascii="Times New Roman" w:hAnsi="Times New Roman"/>
          <w:sz w:val="28"/>
          <w:szCs w:val="28"/>
          <w:lang w:val="uk-UA" w:eastAsia="ru-RU"/>
        </w:rPr>
        <w:t>тис.грн</w:t>
      </w:r>
      <w:proofErr w:type="spellEnd"/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, або на </w:t>
      </w:r>
      <w:r w:rsidR="00423089">
        <w:rPr>
          <w:rFonts w:ascii="Times New Roman" w:hAnsi="Times New Roman"/>
          <w:sz w:val="28"/>
          <w:szCs w:val="28"/>
          <w:lang w:val="uk-UA" w:eastAsia="ru-RU"/>
        </w:rPr>
        <w:t>136,9</w:t>
      </w:r>
      <w:r w:rsidRPr="00086678">
        <w:rPr>
          <w:rFonts w:ascii="Times New Roman" w:hAnsi="Times New Roman"/>
          <w:sz w:val="28"/>
          <w:szCs w:val="28"/>
          <w:lang w:val="uk-UA" w:eastAsia="ru-RU"/>
        </w:rPr>
        <w:t xml:space="preserve"> % </w:t>
      </w:r>
      <w:r w:rsidR="00A1582F">
        <w:rPr>
          <w:rFonts w:ascii="Times New Roman" w:hAnsi="Times New Roman"/>
          <w:sz w:val="28"/>
          <w:szCs w:val="28"/>
          <w:lang w:val="uk-UA" w:eastAsia="ru-RU"/>
        </w:rPr>
        <w:t xml:space="preserve">їх запланованого обсягу </w:t>
      </w:r>
      <w:r w:rsidRPr="00086678">
        <w:rPr>
          <w:rFonts w:ascii="Times New Roman" w:hAnsi="Times New Roman"/>
          <w:sz w:val="28"/>
          <w:szCs w:val="28"/>
          <w:lang w:val="uk-UA"/>
        </w:rPr>
        <w:t>(це становить</w:t>
      </w:r>
      <w:r w:rsidR="00086B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089">
        <w:rPr>
          <w:rFonts w:ascii="Times New Roman" w:hAnsi="Times New Roman"/>
          <w:sz w:val="28"/>
          <w:szCs w:val="28"/>
          <w:lang w:val="uk-UA"/>
        </w:rPr>
        <w:t>8</w:t>
      </w:r>
      <w:r w:rsidR="00712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678">
        <w:rPr>
          <w:rFonts w:ascii="Times New Roman" w:hAnsi="Times New Roman"/>
          <w:sz w:val="28"/>
          <w:szCs w:val="28"/>
          <w:lang w:val="uk-UA"/>
        </w:rPr>
        <w:t xml:space="preserve">% від суми запланованих операційних витрат на </w:t>
      </w:r>
      <w:r w:rsidR="00F616BB" w:rsidRPr="00086678">
        <w:rPr>
          <w:rFonts w:ascii="Times New Roman" w:hAnsi="Times New Roman"/>
          <w:sz w:val="28"/>
          <w:szCs w:val="28"/>
          <w:lang w:val="uk-UA"/>
        </w:rPr>
        <w:t xml:space="preserve">поточний період </w:t>
      </w:r>
      <w:r w:rsidRPr="00086678">
        <w:rPr>
          <w:rFonts w:ascii="Times New Roman" w:hAnsi="Times New Roman"/>
          <w:sz w:val="28"/>
          <w:szCs w:val="28"/>
          <w:lang w:val="uk-UA"/>
        </w:rPr>
        <w:t>2021 рік)</w:t>
      </w:r>
      <w:r w:rsidR="00E12C5A" w:rsidRPr="00086678">
        <w:rPr>
          <w:rStyle w:val="a4"/>
          <w:rFonts w:ascii="Times New Roman" w:hAnsi="Times New Roman"/>
          <w:i w:val="0"/>
          <w:sz w:val="28"/>
          <w:szCs w:val="28"/>
          <w:lang w:val="uk-UA"/>
        </w:rPr>
        <w:t>:</w:t>
      </w:r>
      <w:r w:rsidR="007356F5" w:rsidRPr="0008667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403E" w:rsidRPr="00086678" w:rsidRDefault="007356F5" w:rsidP="006C7C6B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 w:cs="Times New Roman"/>
          <w:sz w:val="28"/>
          <w:u w:val="single"/>
          <w:lang w:val="uk-UA"/>
        </w:rPr>
        <w:t xml:space="preserve">- Нетипові операційні </w:t>
      </w:r>
      <w:r w:rsidR="00B1403E" w:rsidRPr="00086678">
        <w:rPr>
          <w:rStyle w:val="a4"/>
          <w:rFonts w:ascii="Times New Roman" w:hAnsi="Times New Roman" w:cs="Times New Roman"/>
          <w:sz w:val="28"/>
          <w:u w:val="single"/>
          <w:lang w:val="uk-UA"/>
        </w:rPr>
        <w:t>витрати</w:t>
      </w:r>
      <w:r w:rsidRPr="0008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1403E" w:rsidRPr="0008667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(ц</w:t>
      </w:r>
      <w:r w:rsidR="00B1403E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ільове фінансування з місцевого бюджету на виконання затверджених програм підтримки по оплаті комунальних послуг 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>(згідно Бюджетного кодексу України ст.89 №2456-</w:t>
      </w:r>
      <w:r w:rsidR="00B1403E" w:rsidRPr="00086678">
        <w:rPr>
          <w:rStyle w:val="a4"/>
          <w:rFonts w:ascii="Times New Roman" w:hAnsi="Times New Roman" w:cs="Times New Roman"/>
          <w:sz w:val="28"/>
        </w:rPr>
        <w:t>VI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 xml:space="preserve"> від 08.07.2010р) </w:t>
      </w:r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склали </w:t>
      </w:r>
      <w:r w:rsidR="001C6B0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сумі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1738,</w:t>
      </w:r>
      <w:r w:rsidR="002D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B1403E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989,0 </w:t>
      </w:r>
      <w:proofErr w:type="spellStart"/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86B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3B2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1403E" w:rsidRPr="00086678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Зростання</w:t>
      </w:r>
      <w:proofErr w:type="spellEnd"/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0793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 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r w:rsidR="00B1403E" w:rsidRPr="0089129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звітний період  відносно плану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склало 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1027</w:t>
      </w:r>
      <w:r w:rsidR="002D515E">
        <w:rPr>
          <w:rFonts w:ascii="Times New Roman" w:hAnsi="Times New Roman" w:cs="Times New Roman"/>
          <w:bCs/>
          <w:iCs/>
          <w:sz w:val="28"/>
          <w:szCs w:val="28"/>
          <w:lang w:val="uk-UA"/>
        </w:rPr>
        <w:t>,0</w:t>
      </w:r>
      <w:r w:rsidR="00B1403E" w:rsidRPr="000866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тис. грн., </w:t>
      </w:r>
      <w:r w:rsidR="00DB3B21">
        <w:rPr>
          <w:rFonts w:ascii="Times New Roman" w:eastAsia="Times New Roman" w:hAnsi="Times New Roman" w:cs="Times New Roman"/>
          <w:sz w:val="28"/>
          <w:szCs w:val="28"/>
          <w:lang w:val="uk-UA"/>
        </w:rPr>
        <w:t>160,4</w:t>
      </w:r>
      <w:r w:rsidR="002D51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0793" w:rsidRPr="00086678">
        <w:rPr>
          <w:rFonts w:ascii="Times New Roman" w:eastAsia="Times New Roman" w:hAnsi="Times New Roman" w:cs="Times New Roman"/>
          <w:sz w:val="28"/>
          <w:szCs w:val="28"/>
          <w:lang w:val="uk-UA"/>
        </w:rPr>
        <w:t>% запланованої суми на 2021 рік суми),</w:t>
      </w:r>
    </w:p>
    <w:p w:rsidR="008520C4" w:rsidRDefault="00E20793" w:rsidP="006C7C6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6678">
        <w:rPr>
          <w:rStyle w:val="a4"/>
          <w:rFonts w:ascii="Times New Roman" w:hAnsi="Times New Roman" w:cs="Times New Roman"/>
          <w:sz w:val="28"/>
          <w:lang w:val="uk-UA"/>
        </w:rPr>
        <w:t>-</w:t>
      </w:r>
      <w:r w:rsidR="007356F5" w:rsidRPr="00086678">
        <w:rPr>
          <w:rStyle w:val="a4"/>
          <w:rFonts w:ascii="Times New Roman" w:hAnsi="Times New Roman" w:cs="Times New Roman"/>
          <w:sz w:val="28"/>
          <w:lang w:val="uk-UA"/>
        </w:rPr>
        <w:t xml:space="preserve"> інші операційні </w:t>
      </w:r>
      <w:r w:rsidR="00B1403E" w:rsidRPr="00086678">
        <w:rPr>
          <w:rStyle w:val="a4"/>
          <w:rFonts w:ascii="Times New Roman" w:hAnsi="Times New Roman" w:cs="Times New Roman"/>
          <w:sz w:val="28"/>
          <w:lang w:val="uk-UA"/>
        </w:rPr>
        <w:t>витрати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 </w:t>
      </w:r>
      <w:r w:rsidR="008520C4" w:rsidRPr="008520C4">
        <w:rPr>
          <w:rStyle w:val="a4"/>
          <w:rFonts w:ascii="Times New Roman" w:hAnsi="Times New Roman" w:cs="Times New Roman"/>
          <w:sz w:val="28"/>
          <w:lang w:val="uk-UA"/>
        </w:rPr>
        <w:t>(рядок 1086)</w:t>
      </w:r>
      <w:r w:rsidR="008520C4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="00B1403E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склали 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-</w:t>
      </w:r>
      <w:r w:rsidR="00DB3B21">
        <w:rPr>
          <w:rStyle w:val="a4"/>
          <w:rFonts w:ascii="Times New Roman" w:hAnsi="Times New Roman" w:cs="Times New Roman"/>
          <w:i w:val="0"/>
          <w:sz w:val="28"/>
          <w:lang w:val="uk-UA"/>
        </w:rPr>
        <w:t>401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proofErr w:type="spellStart"/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, </w:t>
      </w:r>
      <w:r w:rsidR="007356F5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Pr="00086678">
        <w:rPr>
          <w:rFonts w:ascii="Times New Roman" w:hAnsi="Times New Roman" w:cs="Times New Roman"/>
          <w:sz w:val="28"/>
          <w:szCs w:val="28"/>
          <w:lang w:val="uk-UA"/>
        </w:rPr>
        <w:t xml:space="preserve">що більше плану  на 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281</w:t>
      </w:r>
      <w:r w:rsidR="002D5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667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>.</w:t>
      </w:r>
      <w:r w:rsidR="002007C8"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 </w:t>
      </w:r>
      <w:r w:rsidRPr="00086678">
        <w:rPr>
          <w:rStyle w:val="a4"/>
          <w:rFonts w:ascii="Times New Roman" w:hAnsi="Times New Roman" w:cs="Times New Roman"/>
          <w:i w:val="0"/>
          <w:sz w:val="28"/>
          <w:lang w:val="uk-UA"/>
        </w:rPr>
        <w:t xml:space="preserve">Збільшення витрат відбулося за рахунок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перевищ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суму внаслідок виникнення витрат, які не планувалися, а саме нарахування виплат за час тимчасової непрацездатності захворілим працівникам </w:t>
      </w:r>
      <w:r w:rsidR="008520C4" w:rsidRPr="00A1582F">
        <w:rPr>
          <w:rFonts w:ascii="Times New Roman" w:hAnsi="Times New Roman" w:cs="Times New Roman"/>
          <w:i/>
          <w:sz w:val="28"/>
          <w:szCs w:val="28"/>
          <w:lang w:val="uk-UA"/>
        </w:rPr>
        <w:t>(5 перших днів тимчасової непрацездатності,які оплачуються за рахунок підприємства)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проведенням нарахувань на зазначені суми єдиного соціального внеску.</w:t>
      </w:r>
      <w:r w:rsidR="00B1403E" w:rsidRPr="000866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плановим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періодом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520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 xml:space="preserve"> року зазначені витрати збільшилися на 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334,2</w:t>
      </w:r>
      <w:r w:rsidR="008520C4" w:rsidRPr="00A1582F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0F070A" w:rsidRPr="00A1582F" w:rsidRDefault="000F070A" w:rsidP="006C7C6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16" w:type="dxa"/>
        <w:tblInd w:w="-885" w:type="dxa"/>
        <w:tblLayout w:type="fixed"/>
        <w:tblLook w:val="04A0"/>
      </w:tblPr>
      <w:tblGrid>
        <w:gridCol w:w="3403"/>
        <w:gridCol w:w="934"/>
        <w:gridCol w:w="1131"/>
        <w:gridCol w:w="1134"/>
        <w:gridCol w:w="912"/>
        <w:gridCol w:w="992"/>
        <w:gridCol w:w="1276"/>
        <w:gridCol w:w="1134"/>
      </w:tblGrid>
      <w:tr w:rsidR="009227D6" w:rsidRPr="00086678" w:rsidTr="006C7C6B">
        <w:trPr>
          <w:trHeight w:val="70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086678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086678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676B63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наростаючим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proofErr w:type="spellEnd"/>
            <w:r w:rsidR="006C7C6B" w:rsidRPr="006C7C6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з</w:t>
            </w:r>
            <w:proofErr w:type="spellEnd"/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початку року</w:t>
            </w:r>
          </w:p>
        </w:tc>
        <w:tc>
          <w:tcPr>
            <w:tcW w:w="43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7D6" w:rsidRPr="00676B63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квартал </w:t>
            </w:r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ік</w:t>
            </w:r>
          </w:p>
        </w:tc>
      </w:tr>
      <w:tr w:rsidR="009227D6" w:rsidRPr="00676B63" w:rsidTr="002D515E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6C7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D6" w:rsidRPr="00676B63" w:rsidRDefault="009227D6" w:rsidP="006C7C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7D6" w:rsidRPr="009A12D1" w:rsidRDefault="009227D6" w:rsidP="006C7C6B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EF7A76" w:rsidRPr="00676B63" w:rsidTr="002D515E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A76" w:rsidRPr="00676B63" w:rsidRDefault="00EF7A76" w:rsidP="006C7C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76B6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51C93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Інші операційні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витрати</w:t>
            </w:r>
            <w:r w:rsidRPr="0055178F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, у тому числі: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(10 060)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(3 128)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(737)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(1 009)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ind w:left="-50" w:right="-16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sz w:val="24"/>
                <w:szCs w:val="24"/>
              </w:rPr>
              <w:t>(272)</w:t>
            </w:r>
          </w:p>
        </w:tc>
      </w:tr>
      <w:tr w:rsidR="00F51C93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left="-142" w:right="-107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нетипові операційні витрати (цільове фінансування на виконання програм)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(9 927)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(2 727)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(737)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(889)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120,6</w:t>
            </w:r>
          </w:p>
        </w:tc>
      </w:tr>
      <w:tr w:rsidR="00F51C93" w:rsidRPr="00676B63" w:rsidTr="002D515E">
        <w:trPr>
          <w:trHeight w:val="40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left="-142" w:right="-107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інші операційні витрати,(інші платежі)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C93" w:rsidRPr="0055178F" w:rsidRDefault="00F51C93" w:rsidP="006C7C6B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Pr="0055178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(133)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(401)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51C93">
              <w:rPr>
                <w:rFonts w:ascii="Times New Roman" w:hAnsi="Times New Roman" w:cs="Times New Roman"/>
                <w:sz w:val="24"/>
                <w:szCs w:val="28"/>
              </w:rPr>
              <w:t>(120)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93" w:rsidRPr="00F51C93" w:rsidRDefault="00F51C93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C7C6B" w:rsidRDefault="006C7C6B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</w:pPr>
    </w:p>
    <w:p w:rsidR="003B76B4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uk-UA"/>
        </w:rPr>
        <w:lastRenderedPageBreak/>
        <w:t>5.4 Елементи операційних витрат</w:t>
      </w:r>
      <w:r w:rsidR="002D5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усього (рядок 1450) </w:t>
      </w:r>
      <w:r w:rsidR="002D5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12</w:t>
      </w:r>
      <w:r w:rsidR="006C7C6B" w:rsidRPr="006C7C6B">
        <w:rPr>
          <w:rFonts w:ascii="Times New Roman" w:hAnsi="Times New Roman" w:cs="Times New Roman"/>
          <w:b/>
          <w:bCs/>
          <w:iCs/>
          <w:sz w:val="28"/>
          <w:szCs w:val="28"/>
        </w:rPr>
        <w:t>209</w:t>
      </w:r>
      <w:r w:rsidR="002D515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,0т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ис.грн. </w:t>
      </w:r>
    </w:p>
    <w:tbl>
      <w:tblPr>
        <w:tblW w:w="10916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992"/>
        <w:gridCol w:w="993"/>
        <w:gridCol w:w="1134"/>
        <w:gridCol w:w="992"/>
        <w:gridCol w:w="992"/>
        <w:gridCol w:w="1276"/>
        <w:gridCol w:w="1134"/>
      </w:tblGrid>
      <w:tr w:rsidR="009227D6" w:rsidRPr="00435790" w:rsidTr="00A1582F">
        <w:trPr>
          <w:trHeight w:val="5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086678" w:rsidRDefault="009227D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086678" w:rsidRDefault="009227D6" w:rsidP="00086B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667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E061B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E061B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6C7C6B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C7C6B">
              <w:rPr>
                <w:rFonts w:ascii="Times New Roman" w:hAnsi="Times New Roman" w:cs="Times New Roman"/>
                <w:szCs w:val="28"/>
                <w:lang w:val="en-US"/>
              </w:rPr>
              <w:t>кв</w:t>
            </w:r>
            <w:proofErr w:type="spellEnd"/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6C7C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6C7C6B">
              <w:rPr>
                <w:rFonts w:ascii="Times New Roman" w:hAnsi="Times New Roman"/>
                <w:szCs w:val="28"/>
              </w:rPr>
              <w:t>кв</w:t>
            </w:r>
            <w:proofErr w:type="spellEnd"/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E061B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27D6" w:rsidRPr="009A12D1" w:rsidRDefault="009227D6" w:rsidP="00E061B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іальні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у тому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числі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(5 361)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(11 396)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(3 860)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(4 026)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(166)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51C93" w:rsidRPr="00435790" w:rsidTr="006A47D6">
        <w:trPr>
          <w:trHeight w:val="14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сировину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(2 625)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(7 962)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(2 960)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(2 558)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паливо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енергію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(2 415)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(3 434)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(900)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(1 467)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(567)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оплату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(19 416)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(24 286)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(5 900)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(5 860)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Відрахування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</w:t>
            </w:r>
            <w:proofErr w:type="spellStart"/>
            <w:proofErr w:type="gram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соц</w:t>
            </w:r>
            <w:proofErr w:type="gram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іальні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заходи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(4 278)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(5 343)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(1 287)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(1 287)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Амортизація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(1 728)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(2 338)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(348)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(578)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(230)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166,1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Інші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операційні</w:t>
            </w:r>
            <w:proofErr w:type="spellEnd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(1 212)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(1 255)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(253)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(458)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(205)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</w:tr>
      <w:tr w:rsidR="00F51C93" w:rsidRPr="00435790" w:rsidTr="006A47D6">
        <w:trPr>
          <w:trHeight w:val="14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proofErr w:type="spellStart"/>
            <w:r w:rsidRPr="0043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93" w:rsidRPr="00435790" w:rsidRDefault="00F51C93" w:rsidP="00086B2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4357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(31 993)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(44 618)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(11 648)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(12 209)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(561)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93" w:rsidRPr="00F51C93" w:rsidRDefault="00F51C93" w:rsidP="00F51C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93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</w:tbl>
    <w:p w:rsidR="000F070A" w:rsidRDefault="000F070A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C60D9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Найбільша стаття витрат відносно всіх витрат це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3B76B4" w:rsidRDefault="003B76B4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- витрати на оплату праці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6491C" w:rsidRPr="0046491C">
        <w:rPr>
          <w:rFonts w:ascii="Times New Roman" w:hAnsi="Times New Roman" w:cs="Times New Roman"/>
          <w:bCs/>
          <w:iCs/>
          <w:sz w:val="28"/>
          <w:szCs w:val="28"/>
        </w:rPr>
        <w:t>48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 до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всіх елементі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операційних </w:t>
      </w:r>
      <w:r w:rsidRP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</w:p>
    <w:p w:rsidR="003B76B4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відрахування на соціальні заходи -</w:t>
      </w:r>
      <w:r w:rsidR="0046491C" w:rsidRPr="006C7C6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6C7C6B" w:rsidRPr="000F070A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</w:t>
      </w:r>
    </w:p>
    <w:p w:rsidR="003B76B4" w:rsidRDefault="000C60D9" w:rsidP="003B7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витрати на паливо та енергію - </w:t>
      </w:r>
      <w:r w:rsidR="006C7C6B" w:rsidRPr="006C7C6B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%, </w:t>
      </w:r>
    </w:p>
    <w:p w:rsidR="003B76B4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витрати на сировину та основні матеріали – </w:t>
      </w:r>
      <w:r w:rsidR="006C7C6B" w:rsidRPr="006C7C6B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%,</w:t>
      </w:r>
    </w:p>
    <w:p w:rsidR="000C60D9" w:rsidRDefault="000C60D9" w:rsidP="000C6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амортизація </w:t>
      </w:r>
      <w:r w:rsidR="006A47D6"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DB3B21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%, </w:t>
      </w:r>
    </w:p>
    <w:p w:rsidR="0046491C" w:rsidRDefault="000C60D9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- 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інші операційні витрати </w:t>
      </w:r>
      <w:r w:rsidR="006C7C6B" w:rsidRPr="000F070A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3B76B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%. </w:t>
      </w:r>
    </w:p>
    <w:p w:rsidR="006C7C6B" w:rsidRPr="000F070A" w:rsidRDefault="006C7C6B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6491C" w:rsidRPr="0046491C" w:rsidRDefault="0046491C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491C"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441592" cy="3618964"/>
            <wp:effectExtent l="19050" t="0" r="25758" b="536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755AA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423089" w:rsidRDefault="00423089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F070A" w:rsidRDefault="000F070A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D5178D" w:rsidRDefault="00DB3B21" w:rsidP="0046491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E1D7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План по витратам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підприємства </w:t>
      </w:r>
      <w:r w:rsidRPr="009E1D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виконано на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92%</w:t>
      </w:r>
    </w:p>
    <w:p w:rsidR="00D5178D" w:rsidRDefault="00D5178D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br w:type="page"/>
      </w:r>
    </w:p>
    <w:p w:rsidR="00722DDD" w:rsidRDefault="00722DDD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76443C" w:rsidRPr="00336345" w:rsidRDefault="00BC05F0" w:rsidP="00EF7A76">
      <w:pPr>
        <w:pStyle w:val="ae"/>
        <w:numPr>
          <w:ilvl w:val="0"/>
          <w:numId w:val="21"/>
        </w:numPr>
        <w:spacing w:line="240" w:lineRule="auto"/>
        <w:contextualSpacing/>
        <w:jc w:val="center"/>
        <w:rPr>
          <w:rStyle w:val="a4"/>
          <w:b/>
          <w:i w:val="0"/>
          <w:sz w:val="28"/>
          <w:szCs w:val="28"/>
        </w:rPr>
      </w:pPr>
      <w:r w:rsidRPr="00EF7A76">
        <w:rPr>
          <w:b/>
          <w:i/>
          <w:iCs/>
          <w:sz w:val="28"/>
          <w:szCs w:val="28"/>
        </w:rPr>
        <w:t>АНАЛІЗ</w:t>
      </w:r>
      <w:r w:rsidRPr="0095160A">
        <w:rPr>
          <w:b/>
          <w:iCs/>
          <w:sz w:val="28"/>
          <w:szCs w:val="28"/>
        </w:rPr>
        <w:t xml:space="preserve"> </w:t>
      </w:r>
      <w:r w:rsidRPr="00EF7A76">
        <w:rPr>
          <w:rStyle w:val="a4"/>
          <w:b/>
          <w:sz w:val="28"/>
          <w:szCs w:val="28"/>
        </w:rPr>
        <w:t>ФОНД ОПЛАТИ ПРАЦІ ТА ВИТРАТИ НА ОПЛАТУ ПРАЦІ</w:t>
      </w:r>
      <w:r w:rsidR="007855DA">
        <w:rPr>
          <w:rStyle w:val="a4"/>
          <w:b/>
          <w:sz w:val="28"/>
          <w:szCs w:val="28"/>
          <w:lang w:val="ru-RU"/>
        </w:rPr>
        <w:t xml:space="preserve"> </w:t>
      </w:r>
      <w:r w:rsidR="007855DA">
        <w:rPr>
          <w:rStyle w:val="a4"/>
          <w:b/>
          <w:sz w:val="28"/>
          <w:szCs w:val="28"/>
        </w:rPr>
        <w:t xml:space="preserve">ЗА </w:t>
      </w:r>
      <w:r w:rsidR="007855DA" w:rsidRPr="007855DA">
        <w:rPr>
          <w:b/>
          <w:i/>
          <w:sz w:val="28"/>
          <w:szCs w:val="28"/>
          <w:lang w:val="en-US"/>
        </w:rPr>
        <w:t>IV</w:t>
      </w:r>
      <w:r w:rsidR="007855DA" w:rsidRPr="007855DA">
        <w:rPr>
          <w:b/>
          <w:i/>
          <w:sz w:val="28"/>
          <w:szCs w:val="28"/>
          <w:lang w:val="ru-RU"/>
        </w:rPr>
        <w:t xml:space="preserve"> КВАРТАЛ</w:t>
      </w:r>
      <w:r w:rsidR="007855DA" w:rsidRPr="0055178F">
        <w:rPr>
          <w:rStyle w:val="a4"/>
          <w:b/>
          <w:sz w:val="28"/>
          <w:szCs w:val="28"/>
        </w:rPr>
        <w:t xml:space="preserve"> 2021 РІК</w:t>
      </w:r>
    </w:p>
    <w:p w:rsidR="00336345" w:rsidRDefault="00336345" w:rsidP="00336345">
      <w:pPr>
        <w:pStyle w:val="ae"/>
        <w:spacing w:line="240" w:lineRule="auto"/>
        <w:ind w:left="435" w:firstLine="0"/>
        <w:contextualSpacing/>
        <w:rPr>
          <w:b/>
          <w:iCs/>
          <w:sz w:val="28"/>
          <w:szCs w:val="28"/>
        </w:rPr>
      </w:pPr>
    </w:p>
    <w:p w:rsidR="00EF7A76" w:rsidRPr="00EF7A76" w:rsidRDefault="00EF7A76" w:rsidP="00EF7A76">
      <w:pPr>
        <w:tabs>
          <w:tab w:val="left" w:pos="709"/>
        </w:tabs>
        <w:ind w:right="28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F7A76">
        <w:rPr>
          <w:rFonts w:ascii="Times New Roman" w:hAnsi="Times New Roman"/>
          <w:sz w:val="28"/>
          <w:szCs w:val="28"/>
          <w:lang w:val="uk-UA"/>
        </w:rPr>
        <w:t xml:space="preserve">КНП «Ніжинська ЦРЛ»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представлена ліжковим фондом на 1</w:t>
      </w:r>
      <w:r w:rsidR="00A1404D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10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ліж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ок , </w:t>
      </w:r>
      <w:r w:rsidR="004A7C6E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37,1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тис. ліжко/днів 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та районною поліклінікою з потужністю </w:t>
      </w:r>
      <w:r w:rsid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>76,1 тис.</w:t>
      </w:r>
      <w:r w:rsidRPr="000C60D9">
        <w:rPr>
          <w:rFonts w:ascii="Times New Roman" w:hAnsi="Times New Roman"/>
          <w:sz w:val="28"/>
          <w:szCs w:val="28"/>
          <w:shd w:val="clear" w:color="auto" w:fill="FCFCFC"/>
          <w:lang w:val="uk-UA"/>
        </w:rPr>
        <w:t xml:space="preserve"> відвідувань</w:t>
      </w:r>
      <w:r w:rsidRPr="000C60D9">
        <w:rPr>
          <w:rFonts w:ascii="Times New Roman" w:hAnsi="Times New Roman"/>
          <w:sz w:val="26"/>
          <w:szCs w:val="26"/>
          <w:shd w:val="clear" w:color="auto" w:fill="FCFCFC"/>
          <w:lang w:val="uk-UA"/>
        </w:rPr>
        <w:t>.</w:t>
      </w:r>
    </w:p>
    <w:p w:rsidR="00CE431A" w:rsidRPr="00CE431A" w:rsidRDefault="0076443C" w:rsidP="00384BE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CE431A" w:rsidRPr="00CE43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 структурі </w:t>
      </w:r>
      <w:r w:rsidR="004E00C9"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 некомерційного підприємства «Ніжинська центральна районна лікарня» Ніжинської районної ради Чернігівської області</w:t>
      </w:r>
      <w:r w:rsidR="00CE431A" w:rsidRPr="00CE431A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4 підрозділи: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1.Адміністративно-управлінський підрозділ: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2. Лікувально-профілактичний підрозділ.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3. Допоміжно</w:t>
      </w:r>
      <w:r w:rsidR="009E3D55"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діагностичний підрозділ.</w:t>
      </w:r>
    </w:p>
    <w:p w:rsidR="00CE431A" w:rsidRPr="00CE431A" w:rsidRDefault="00CE431A" w:rsidP="00384BE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4</w:t>
      </w:r>
      <w:r w:rsidR="00384BEB">
        <w:rPr>
          <w:rFonts w:ascii="Times New Roman" w:hAnsi="Times New Roman" w:cs="Times New Roman"/>
          <w:sz w:val="28"/>
          <w:szCs w:val="28"/>
          <w:lang w:val="uk-UA" w:eastAsia="zh-CN"/>
        </w:rPr>
        <w:t>. Г</w:t>
      </w:r>
      <w:r w:rsidRPr="00CE431A">
        <w:rPr>
          <w:rFonts w:ascii="Times New Roman" w:hAnsi="Times New Roman" w:cs="Times New Roman"/>
          <w:sz w:val="28"/>
          <w:szCs w:val="28"/>
          <w:lang w:val="uk-UA" w:eastAsia="zh-CN"/>
        </w:rPr>
        <w:t>осподарський підрозділ.</w:t>
      </w:r>
    </w:p>
    <w:p w:rsidR="00FB42EA" w:rsidRDefault="000B0BAD" w:rsidP="00FB42EA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83185</wp:posOffset>
            </wp:positionV>
            <wp:extent cx="4284980" cy="3013075"/>
            <wp:effectExtent l="19050" t="0" r="20320" b="0"/>
            <wp:wrapSquare wrapText="bothSides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Штатна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план </w:t>
      </w:r>
      <w:r w:rsidR="007F27D9">
        <w:rPr>
          <w:rFonts w:ascii="Times New Roman" w:hAnsi="Times New Roman" w:cs="Times New Roman"/>
          <w:sz w:val="28"/>
          <w:szCs w:val="28"/>
        </w:rPr>
        <w:t>–</w:t>
      </w:r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r w:rsidR="00A1404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DB3B21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A76" w:rsidRPr="00FB42EA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EF7A76" w:rsidRPr="00FB4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зайнято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кінець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звітного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всього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7F2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404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A7C6E">
        <w:rPr>
          <w:rFonts w:ascii="Times New Roman" w:eastAsia="Times New Roman" w:hAnsi="Times New Roman" w:cs="Times New Roman"/>
          <w:sz w:val="28"/>
          <w:szCs w:val="28"/>
          <w:lang w:val="uk-UA"/>
        </w:rPr>
        <w:t>12,75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штатних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одиниць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становить </w:t>
      </w:r>
      <w:r w:rsidR="004A7C6E">
        <w:rPr>
          <w:rFonts w:ascii="Times New Roman" w:eastAsia="Times New Roman" w:hAnsi="Times New Roman" w:cs="Times New Roman"/>
          <w:sz w:val="28"/>
          <w:szCs w:val="28"/>
          <w:lang w:val="uk-UA"/>
        </w:rPr>
        <w:t>92,3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2EA" w:rsidRPr="00FB42EA">
        <w:rPr>
          <w:rFonts w:ascii="Times New Roman" w:eastAsia="Times New Roman" w:hAnsi="Times New Roman" w:cs="Times New Roman"/>
          <w:sz w:val="28"/>
          <w:szCs w:val="28"/>
          <w:lang w:val="uk-UA"/>
        </w:rPr>
        <w:t>% штатних посад.</w:t>
      </w:r>
    </w:p>
    <w:p w:rsidR="000B0BAD" w:rsidRPr="00FB42EA" w:rsidRDefault="000B0BAD" w:rsidP="00FB42EA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267A" w:rsidRDefault="00B7267A" w:rsidP="00FB42EA">
      <w:pPr>
        <w:pStyle w:val="ae"/>
        <w:spacing w:line="240" w:lineRule="auto"/>
        <w:ind w:firstLine="709"/>
        <w:contextualSpacing/>
        <w:rPr>
          <w:bCs/>
          <w:iCs/>
          <w:sz w:val="28"/>
          <w:szCs w:val="28"/>
        </w:rPr>
      </w:pPr>
      <w:r w:rsidRPr="00791192">
        <w:rPr>
          <w:sz w:val="28"/>
          <w:szCs w:val="28"/>
        </w:rPr>
        <w:t xml:space="preserve">Середня кількість працівників </w:t>
      </w:r>
      <w:r w:rsidRPr="00791192">
        <w:rPr>
          <w:i/>
          <w:sz w:val="28"/>
          <w:szCs w:val="28"/>
        </w:rPr>
        <w:t>(штатних працівників, зовнішніх)</w:t>
      </w:r>
      <w:r w:rsidRPr="007911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42EA">
        <w:rPr>
          <w:sz w:val="28"/>
          <w:szCs w:val="28"/>
        </w:rPr>
        <w:t>а кінець 2021</w:t>
      </w:r>
      <w:r w:rsidR="00FB42EA" w:rsidRPr="00E12C5A">
        <w:rPr>
          <w:sz w:val="28"/>
          <w:szCs w:val="28"/>
        </w:rPr>
        <w:t xml:space="preserve"> ро</w:t>
      </w:r>
      <w:r w:rsidR="00FB42EA">
        <w:rPr>
          <w:sz w:val="28"/>
          <w:szCs w:val="28"/>
        </w:rPr>
        <w:t>ку</w:t>
      </w:r>
      <w:r w:rsidR="00FB42EA" w:rsidRPr="00E12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склала </w:t>
      </w:r>
      <w:r w:rsidR="00A1404D">
        <w:rPr>
          <w:sz w:val="28"/>
          <w:szCs w:val="28"/>
        </w:rPr>
        <w:t>21</w:t>
      </w:r>
      <w:r w:rsidR="000B0BAD">
        <w:rPr>
          <w:sz w:val="28"/>
          <w:szCs w:val="28"/>
        </w:rPr>
        <w:t>2</w:t>
      </w:r>
      <w:r w:rsidR="007F2BA9">
        <w:rPr>
          <w:sz w:val="28"/>
          <w:szCs w:val="28"/>
        </w:rPr>
        <w:t xml:space="preserve"> </w:t>
      </w:r>
      <w:r>
        <w:rPr>
          <w:sz w:val="28"/>
          <w:szCs w:val="28"/>
        </w:rPr>
        <w:t>чол.</w:t>
      </w:r>
      <w:r w:rsidR="000053D3">
        <w:rPr>
          <w:sz w:val="28"/>
          <w:szCs w:val="28"/>
        </w:rPr>
        <w:t xml:space="preserve"> </w:t>
      </w:r>
      <w:r w:rsidR="00FB42EA" w:rsidRPr="00E12C5A">
        <w:rPr>
          <w:bCs/>
          <w:iCs/>
          <w:sz w:val="28"/>
          <w:szCs w:val="28"/>
        </w:rPr>
        <w:t xml:space="preserve">Середньооблікова чисельність штатних працівників склала </w:t>
      </w:r>
      <w:r w:rsidR="00A1404D">
        <w:rPr>
          <w:bCs/>
          <w:iCs/>
          <w:sz w:val="28"/>
          <w:szCs w:val="28"/>
        </w:rPr>
        <w:t>20</w:t>
      </w:r>
      <w:r w:rsidR="007657F4">
        <w:rPr>
          <w:bCs/>
          <w:iCs/>
          <w:sz w:val="28"/>
          <w:szCs w:val="28"/>
        </w:rPr>
        <w:t>2</w:t>
      </w:r>
      <w:r w:rsidR="00A1404D">
        <w:rPr>
          <w:bCs/>
          <w:iCs/>
          <w:sz w:val="28"/>
          <w:szCs w:val="28"/>
        </w:rPr>
        <w:t xml:space="preserve"> </w:t>
      </w:r>
      <w:r w:rsidR="00FB42EA" w:rsidRPr="00E12C5A">
        <w:rPr>
          <w:bCs/>
          <w:iCs/>
          <w:sz w:val="28"/>
          <w:szCs w:val="28"/>
        </w:rPr>
        <w:t>чоловік</w:t>
      </w:r>
      <w:r>
        <w:rPr>
          <w:bCs/>
          <w:iCs/>
          <w:sz w:val="28"/>
          <w:szCs w:val="28"/>
        </w:rPr>
        <w:t>.</w:t>
      </w:r>
      <w:r w:rsidR="00FB42EA" w:rsidRPr="00E12C5A">
        <w:rPr>
          <w:bCs/>
          <w:iCs/>
          <w:sz w:val="28"/>
          <w:szCs w:val="28"/>
        </w:rPr>
        <w:t xml:space="preserve"> </w:t>
      </w:r>
    </w:p>
    <w:tbl>
      <w:tblPr>
        <w:tblW w:w="10774" w:type="dxa"/>
        <w:tblInd w:w="-885" w:type="dxa"/>
        <w:tblLayout w:type="fixed"/>
        <w:tblLook w:val="04A0"/>
      </w:tblPr>
      <w:tblGrid>
        <w:gridCol w:w="4112"/>
        <w:gridCol w:w="1134"/>
        <w:gridCol w:w="1134"/>
        <w:gridCol w:w="960"/>
        <w:gridCol w:w="883"/>
        <w:gridCol w:w="1350"/>
        <w:gridCol w:w="1201"/>
      </w:tblGrid>
      <w:tr w:rsidR="00EF7A76" w:rsidRPr="00100925" w:rsidTr="00700D38">
        <w:trPr>
          <w:trHeight w:val="91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Середньооблікова кількість штатних працівників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Середня кількість працівників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  працівників в еквіваленті повної зайнятості</w:t>
            </w:r>
          </w:p>
        </w:tc>
      </w:tr>
      <w:tr w:rsidR="00EF7A76" w:rsidRPr="00EF7A76" w:rsidTr="00700D38">
        <w:trPr>
          <w:trHeight w:val="3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%</w:t>
            </w:r>
          </w:p>
        </w:tc>
      </w:tr>
      <w:tr w:rsidR="00EF7A76" w:rsidRPr="00EF7A76" w:rsidTr="00700D38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Всього,</w:t>
            </w:r>
            <w:r w:rsidRPr="00EF7A76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 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</w:t>
            </w:r>
            <w:r w:rsidR="007657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A1404D" w:rsidP="004A7C6E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</w:t>
            </w:r>
            <w:r w:rsidR="004A7C6E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D4484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</w:t>
            </w:r>
            <w:r w:rsidR="007657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100</w:t>
            </w:r>
          </w:p>
        </w:tc>
      </w:tr>
      <w:tr w:rsidR="00EF7A76" w:rsidRPr="00EF7A76" w:rsidTr="00700D38">
        <w:trPr>
          <w:trHeight w:val="289"/>
        </w:trPr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Лікарі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D4484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48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Серед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ній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ичний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D4484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39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Молод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ший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мед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ичний </w:t>
            </w: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0B0BAD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0B0BAD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48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657F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 w:cs="Times New Roman"/>
                <w:sz w:val="24"/>
                <w:szCs w:val="28"/>
              </w:rPr>
              <w:t>Інший персонал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7F2BA9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8C18C8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EF7A76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8C18C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A1404D" w:rsidP="007657F4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EF7A76" w:rsidRPr="00EF7A76" w:rsidRDefault="00D44844" w:rsidP="00D4605F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605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</w:tr>
      <w:tr w:rsidR="00EF7A76" w:rsidRPr="00EF7A76" w:rsidTr="00700D38"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</w:pPr>
            <w:r w:rsidRPr="00EF7A76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uk-UA"/>
              </w:rPr>
              <w:t>В тому числі:</w:t>
            </w:r>
          </w:p>
          <w:p w:rsidR="00EF7A76" w:rsidRPr="00EF7A76" w:rsidRDefault="00EF7A76" w:rsidP="00800F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/>
                <w:i/>
                <w:sz w:val="24"/>
                <w:szCs w:val="28"/>
              </w:rPr>
              <w:t>спеціалісти не медики</w:t>
            </w:r>
          </w:p>
          <w:p w:rsidR="00EF7A76" w:rsidRPr="00EF7A76" w:rsidRDefault="00EF7A76" w:rsidP="00800FE9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F7A76">
              <w:rPr>
                <w:rFonts w:ascii="Times New Roman" w:eastAsia="Times New Roman" w:hAnsi="Times New Roman"/>
                <w:i/>
                <w:sz w:val="24"/>
                <w:szCs w:val="28"/>
              </w:rPr>
              <w:t>інший персонал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EF7A76" w:rsidRPr="00EF7A76" w:rsidRDefault="00EF7A76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EF7A76" w:rsidRPr="00EF7A76" w:rsidRDefault="00EF7A76" w:rsidP="000B0BAD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="000B0BA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7657F4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7657F4" w:rsidP="008C18C8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Default="000B0BAD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7657F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  <w:p w:rsidR="000B0BAD" w:rsidRPr="00EF7A76" w:rsidRDefault="000B0BAD" w:rsidP="007F2BA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6" w:rsidRPr="00EF7A76" w:rsidRDefault="00EF7A76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EF7A76" w:rsidRPr="00EF7A76" w:rsidRDefault="00D4605F" w:rsidP="00800FE9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  <w:p w:rsidR="00EF7A76" w:rsidRPr="00EF7A76" w:rsidRDefault="00EF7A76" w:rsidP="00D4605F">
            <w:pPr>
              <w:ind w:right="28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F7A7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  <w:r w:rsidR="00D4605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</w:tr>
    </w:tbl>
    <w:p w:rsidR="00EF7A76" w:rsidRPr="00EF7A76" w:rsidRDefault="00EF7A76" w:rsidP="00EF7A76">
      <w:pPr>
        <w:ind w:right="28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EE7EF5">
        <w:rPr>
          <w:rFonts w:ascii="Times New Roman" w:hAnsi="Times New Roman" w:cs="Times New Roman"/>
          <w:sz w:val="28"/>
          <w:szCs w:val="28"/>
          <w:lang w:val="uk-UA"/>
        </w:rPr>
        <w:t>айбільшу питому вагу в загальній чисельності працівників м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>ає середній медичний персонал -</w:t>
      </w:r>
      <w:r w:rsidR="00D4605F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особи, або </w:t>
      </w:r>
      <w:r w:rsidR="00D4605F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7F2B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>% від середньої кількості всіх працівників</w:t>
      </w:r>
      <w:r w:rsidRPr="00EE7E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F7A76" w:rsidRDefault="00EF7A76" w:rsidP="00EF7A76">
      <w:pPr>
        <w:ind w:right="2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Оплата праці проведена згідно умов Колективного договору, укладеного між Адміністрацією та Трудовим колективом комунального некомерційного підприємства «Ніжинська центральна районна лікарня» Ніжинської районної ради Чернігівської області. </w:t>
      </w:r>
    </w:p>
    <w:p w:rsidR="00D44844" w:rsidRPr="00EF7A76" w:rsidRDefault="00D44844" w:rsidP="00EF7A76">
      <w:pPr>
        <w:ind w:right="2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42EA" w:rsidRDefault="00EF7A76" w:rsidP="00EF7A76">
      <w:pPr>
        <w:tabs>
          <w:tab w:val="left" w:pos="9923"/>
        </w:tabs>
        <w:adjustRightInd w:val="0"/>
        <w:ind w:righ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2EA">
        <w:rPr>
          <w:rFonts w:ascii="Times New Roman" w:hAnsi="Times New Roman" w:cs="Times New Roman"/>
          <w:b/>
          <w:sz w:val="28"/>
          <w:szCs w:val="28"/>
          <w:lang w:val="uk-UA"/>
        </w:rPr>
        <w:t>План структури чисельності та середньомісячні витрати на оплату праці працівників підприємства</w:t>
      </w:r>
    </w:p>
    <w:p w:rsidR="00D44844" w:rsidRPr="00FB42EA" w:rsidRDefault="00D44844" w:rsidP="00EF7A76">
      <w:pPr>
        <w:tabs>
          <w:tab w:val="left" w:pos="9923"/>
        </w:tabs>
        <w:adjustRightInd w:val="0"/>
        <w:ind w:right="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36"/>
        <w:tblW w:w="5724" w:type="pct"/>
        <w:tblLayout w:type="fixed"/>
        <w:tblLook w:val="04A0"/>
      </w:tblPr>
      <w:tblGrid>
        <w:gridCol w:w="4076"/>
        <w:gridCol w:w="1843"/>
        <w:gridCol w:w="1420"/>
        <w:gridCol w:w="1133"/>
        <w:gridCol w:w="1275"/>
        <w:gridCol w:w="1210"/>
      </w:tblGrid>
      <w:tr w:rsidR="00086678" w:rsidRPr="0074344D" w:rsidTr="0074344D">
        <w:trPr>
          <w:trHeight w:val="528"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142" w:right="-16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-108" w:right="-10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  <w:r w:rsidR="00D755AA" w:rsidRPr="007434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відповідного періоду минулого року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left="-113" w:right="-1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звітного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періоду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CB" w:rsidRPr="0074344D" w:rsidRDefault="008519CB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Звітний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9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2021</w:t>
            </w: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78" w:rsidRPr="0074344D" w:rsidRDefault="00086678" w:rsidP="0074344D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Відхилення, </w:t>
            </w:r>
            <w:r w:rsidR="008519CB"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+/–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9CB" w:rsidRPr="0074344D" w:rsidRDefault="008519CB" w:rsidP="0074344D">
            <w:pPr>
              <w:spacing w:after="0" w:line="240" w:lineRule="auto"/>
              <w:ind w:left="-115" w:right="-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Виконання, %</w:t>
            </w:r>
          </w:p>
        </w:tc>
      </w:tr>
      <w:tr w:rsidR="00086678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CB" w:rsidRPr="0074344D" w:rsidRDefault="008519CB" w:rsidP="0074344D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74344D" w:rsidRPr="0074344D" w:rsidTr="0074344D">
        <w:trPr>
          <w:trHeight w:val="857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кількість працівників (штатних працівників, зовнішніх сумісників),у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93,4</w:t>
            </w:r>
          </w:p>
        </w:tc>
      </w:tr>
      <w:tr w:rsidR="0074344D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8459B7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  <w:r w:rsidR="0074344D"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4344D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-0,50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74344D" w:rsidRPr="0074344D" w:rsidTr="0074344D">
        <w:trPr>
          <w:trHeight w:val="248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203,50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189,00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-14,50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4D" w:rsidRPr="0074344D" w:rsidRDefault="0074344D" w:rsidP="007434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46491C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оплати праці, тис. грн, 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46491C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491C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694,00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-40,00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46491C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6 281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5064,00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5064,00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491C" w:rsidRPr="0074344D" w:rsidTr="0074344D">
        <w:trPr>
          <w:trHeight w:val="667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оплату праці одного працівника, грн, усього, у тому числі: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9307,38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8663,73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9213,84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550,11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106,3</w:t>
            </w:r>
          </w:p>
        </w:tc>
      </w:tr>
      <w:tr w:rsidR="0046491C" w:rsidRPr="0074344D" w:rsidTr="0074344D">
        <w:trPr>
          <w:trHeight w:val="289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32 000,0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6491C" w:rsidRPr="0074344D" w:rsidTr="0074344D">
        <w:trPr>
          <w:trHeight w:val="420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адміністративно-управлінський персонал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6 920,6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10874,07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9843,97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-1030,10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46491C" w:rsidRPr="0074344D" w:rsidTr="0074344D">
        <w:trPr>
          <w:trHeight w:val="225"/>
        </w:trPr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74344D" w:rsidRDefault="0046491C" w:rsidP="008459B7">
            <w:pPr>
              <w:spacing w:after="0" w:line="240" w:lineRule="auto"/>
              <w:ind w:right="28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3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9 430,9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8294,84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9002,67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707,83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91C" w:rsidRPr="0046491C" w:rsidRDefault="0046491C" w:rsidP="004649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1C"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</w:tr>
    </w:tbl>
    <w:p w:rsidR="00F476DC" w:rsidRDefault="00F476DC" w:rsidP="00BC05F0">
      <w:pPr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A76" w:rsidRPr="00EF7A76" w:rsidRDefault="00EF7A76" w:rsidP="00BC05F0">
      <w:pPr>
        <w:spacing w:after="0"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витрат на оплату праці </w:t>
      </w:r>
      <w:r w:rsidR="00BC05F0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5F0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46491C">
        <w:rPr>
          <w:rFonts w:ascii="Times New Roman" w:hAnsi="Times New Roman" w:cs="Times New Roman"/>
          <w:sz w:val="28"/>
          <w:szCs w:val="28"/>
          <w:lang w:val="uk-UA"/>
        </w:rPr>
        <w:t xml:space="preserve"> 5860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., що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2428,2</w:t>
      </w:r>
      <w:r w:rsidR="00D4484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7A76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. або на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90,9</w:t>
      </w:r>
      <w:r w:rsidR="008519CB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менше планового показника на </w:t>
      </w:r>
      <w:r w:rsidR="0046491C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46491C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46491C" w:rsidRPr="00E2000E">
        <w:rPr>
          <w:rFonts w:ascii="Times New Roman" w:hAnsi="Times New Roman" w:cs="Times New Roman"/>
          <w:sz w:val="28"/>
          <w:szCs w:val="28"/>
        </w:rPr>
        <w:t xml:space="preserve">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519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рік.  Середньомісячні витрати на оплату праці одного працівника на 2021 рік </w:t>
      </w:r>
      <w:r w:rsidR="00B7267A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91C">
        <w:rPr>
          <w:rFonts w:ascii="Times New Roman" w:hAnsi="Times New Roman" w:cs="Times New Roman"/>
          <w:sz w:val="28"/>
          <w:szCs w:val="28"/>
          <w:lang w:val="uk-UA"/>
        </w:rPr>
        <w:t>9213,84</w:t>
      </w:r>
      <w:r w:rsidRPr="00EF7A76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EF7A76" w:rsidRPr="00EF7A76" w:rsidRDefault="00EF7A76" w:rsidP="00BC05F0">
      <w:pPr>
        <w:pStyle w:val="ae"/>
        <w:spacing w:line="240" w:lineRule="auto"/>
        <w:ind w:right="28" w:firstLine="709"/>
        <w:contextualSpacing/>
        <w:rPr>
          <w:bCs/>
          <w:iCs/>
          <w:sz w:val="28"/>
          <w:szCs w:val="28"/>
        </w:rPr>
      </w:pPr>
      <w:r w:rsidRPr="00EF7A76">
        <w:rPr>
          <w:bCs/>
          <w:iCs/>
          <w:sz w:val="28"/>
          <w:szCs w:val="28"/>
        </w:rPr>
        <w:t>Причини</w:t>
      </w:r>
      <w:r w:rsidRPr="00780F35">
        <w:rPr>
          <w:bCs/>
          <w:iCs/>
          <w:sz w:val="28"/>
          <w:szCs w:val="28"/>
        </w:rPr>
        <w:t xml:space="preserve"> </w:t>
      </w:r>
      <w:proofErr w:type="spellStart"/>
      <w:r w:rsidR="0046491C">
        <w:rPr>
          <w:bCs/>
          <w:iCs/>
          <w:sz w:val="28"/>
          <w:szCs w:val="28"/>
          <w:lang w:val="ru-RU"/>
        </w:rPr>
        <w:t>збільшення</w:t>
      </w:r>
      <w:proofErr w:type="spellEnd"/>
      <w:r w:rsidRPr="00EF7A76">
        <w:rPr>
          <w:bCs/>
          <w:iCs/>
          <w:sz w:val="28"/>
          <w:szCs w:val="28"/>
        </w:rPr>
        <w:t xml:space="preserve"> середньомісячних витрат на оплату праці одного працівника відносно плану на</w:t>
      </w:r>
      <w:r w:rsidR="000E567C">
        <w:rPr>
          <w:bCs/>
          <w:iCs/>
          <w:sz w:val="28"/>
          <w:szCs w:val="28"/>
        </w:rPr>
        <w:t xml:space="preserve"> плановий період</w:t>
      </w:r>
      <w:r w:rsidR="0046491C">
        <w:rPr>
          <w:bCs/>
          <w:iCs/>
          <w:sz w:val="28"/>
          <w:szCs w:val="28"/>
        </w:rPr>
        <w:t xml:space="preserve"> </w:t>
      </w:r>
      <w:r w:rsidR="0046491C" w:rsidRPr="009227D6">
        <w:rPr>
          <w:sz w:val="28"/>
          <w:szCs w:val="28"/>
          <w:lang w:val="en-US"/>
        </w:rPr>
        <w:t>IV</w:t>
      </w:r>
      <w:r w:rsidR="0046491C" w:rsidRPr="009227D6">
        <w:rPr>
          <w:sz w:val="28"/>
          <w:szCs w:val="28"/>
        </w:rPr>
        <w:t xml:space="preserve"> квартал</w:t>
      </w:r>
      <w:r w:rsidRPr="00EF7A76">
        <w:rPr>
          <w:bCs/>
          <w:iCs/>
          <w:sz w:val="28"/>
          <w:szCs w:val="28"/>
        </w:rPr>
        <w:t xml:space="preserve"> 202</w:t>
      </w:r>
      <w:r w:rsidR="00FB42EA">
        <w:rPr>
          <w:bCs/>
          <w:iCs/>
          <w:sz w:val="28"/>
          <w:szCs w:val="28"/>
        </w:rPr>
        <w:t>1</w:t>
      </w:r>
      <w:r w:rsidRPr="00EF7A76">
        <w:rPr>
          <w:bCs/>
          <w:iCs/>
          <w:sz w:val="28"/>
          <w:szCs w:val="28"/>
        </w:rPr>
        <w:t xml:space="preserve"> рік це:</w:t>
      </w:r>
    </w:p>
    <w:p w:rsidR="00EF7A76" w:rsidRDefault="0046491C" w:rsidP="00BC05F0">
      <w:pPr>
        <w:pStyle w:val="ae"/>
        <w:numPr>
          <w:ilvl w:val="0"/>
          <w:numId w:val="11"/>
        </w:numPr>
        <w:spacing w:line="240" w:lineRule="auto"/>
        <w:ind w:left="851" w:right="28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підвищення заробітної плати (посадових окладів) в грудні 2021 року</w:t>
      </w:r>
      <w:r w:rsidR="00EF7A76" w:rsidRPr="00EF7A76">
        <w:rPr>
          <w:bCs/>
          <w:iCs/>
          <w:sz w:val="28"/>
          <w:szCs w:val="28"/>
        </w:rPr>
        <w:t>;</w:t>
      </w:r>
    </w:p>
    <w:p w:rsidR="00D44844" w:rsidRDefault="00D44844" w:rsidP="0046491C">
      <w:pPr>
        <w:pStyle w:val="ae"/>
        <w:spacing w:line="240" w:lineRule="auto"/>
        <w:ind w:left="851" w:right="28" w:firstLine="0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</w:t>
      </w:r>
    </w:p>
    <w:p w:rsidR="008459B7" w:rsidRDefault="008459B7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</w:rPr>
        <w:br w:type="page"/>
      </w:r>
    </w:p>
    <w:p w:rsidR="00E2000E" w:rsidRPr="00780F35" w:rsidRDefault="00E2000E" w:rsidP="00BC05F0">
      <w:pPr>
        <w:pStyle w:val="ae"/>
        <w:numPr>
          <w:ilvl w:val="0"/>
          <w:numId w:val="21"/>
        </w:numPr>
        <w:spacing w:line="240" w:lineRule="auto"/>
        <w:ind w:right="28"/>
        <w:contextualSpacing/>
        <w:jc w:val="center"/>
        <w:rPr>
          <w:bCs/>
          <w:i/>
          <w:iCs/>
          <w:sz w:val="28"/>
          <w:szCs w:val="28"/>
        </w:rPr>
      </w:pPr>
      <w:r w:rsidRPr="00780F35">
        <w:rPr>
          <w:b/>
          <w:i/>
          <w:iCs/>
          <w:sz w:val="28"/>
          <w:szCs w:val="28"/>
        </w:rPr>
        <w:lastRenderedPageBreak/>
        <w:t>СПЛАТА ПЛАТЕЖІВ ДО БЮДЖЕТУ</w:t>
      </w:r>
      <w:r w:rsidR="007855DA" w:rsidRPr="007855DA">
        <w:rPr>
          <w:rStyle w:val="a4"/>
          <w:b/>
          <w:sz w:val="28"/>
          <w:szCs w:val="28"/>
        </w:rPr>
        <w:t xml:space="preserve"> </w:t>
      </w:r>
      <w:r w:rsidR="007855DA">
        <w:rPr>
          <w:rStyle w:val="a4"/>
          <w:b/>
          <w:sz w:val="28"/>
          <w:szCs w:val="28"/>
        </w:rPr>
        <w:t xml:space="preserve">ЗА </w:t>
      </w:r>
      <w:r w:rsidR="007855DA" w:rsidRPr="007855DA">
        <w:rPr>
          <w:b/>
          <w:i/>
          <w:sz w:val="28"/>
          <w:szCs w:val="28"/>
          <w:lang w:val="en-US"/>
        </w:rPr>
        <w:t>IV</w:t>
      </w:r>
      <w:r w:rsidR="007855DA" w:rsidRPr="007855DA">
        <w:rPr>
          <w:b/>
          <w:i/>
          <w:sz w:val="28"/>
          <w:szCs w:val="28"/>
          <w:lang w:val="ru-RU"/>
        </w:rPr>
        <w:t xml:space="preserve"> КВАРТАЛ</w:t>
      </w:r>
      <w:r w:rsidR="007855DA" w:rsidRPr="0055178F">
        <w:rPr>
          <w:rStyle w:val="a4"/>
          <w:b/>
          <w:sz w:val="28"/>
          <w:szCs w:val="28"/>
        </w:rPr>
        <w:t xml:space="preserve"> 2021 РІК</w:t>
      </w:r>
    </w:p>
    <w:p w:rsidR="009E1D77" w:rsidRPr="00791192" w:rsidRDefault="009E1D77" w:rsidP="009E1D77">
      <w:pPr>
        <w:pStyle w:val="ae"/>
        <w:spacing w:line="240" w:lineRule="auto"/>
        <w:ind w:left="435" w:right="28" w:firstLine="0"/>
        <w:contextualSpacing/>
        <w:rPr>
          <w:bCs/>
          <w:iCs/>
          <w:sz w:val="28"/>
          <w:szCs w:val="28"/>
        </w:rPr>
      </w:pPr>
    </w:p>
    <w:p w:rsidR="00E2000E" w:rsidRPr="00E2000E" w:rsidRDefault="009153FA" w:rsidP="00303EBA">
      <w:pPr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EBA" w:rsidRPr="00E200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ума перерахувань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1B2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E061B2" w:rsidRPr="009227D6">
        <w:rPr>
          <w:rFonts w:ascii="Times New Roman" w:hAnsi="Times New Roman"/>
          <w:sz w:val="28"/>
          <w:szCs w:val="28"/>
        </w:rPr>
        <w:t xml:space="preserve"> квартал</w:t>
      </w:r>
      <w:r w:rsidRPr="00E2000E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E2000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2000E">
        <w:rPr>
          <w:rFonts w:ascii="Times New Roman" w:hAnsi="Times New Roman" w:cs="Times New Roman"/>
          <w:sz w:val="28"/>
          <w:szCs w:val="28"/>
        </w:rPr>
        <w:t xml:space="preserve">  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загальнообов'язкове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(рядок 2200) </w:t>
      </w:r>
      <w:r w:rsidR="00303EBA" w:rsidRPr="00E2000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склала</w:t>
      </w:r>
      <w:r w:rsidR="00303EBA" w:rsidRPr="00E2000E">
        <w:rPr>
          <w:rFonts w:ascii="Times New Roman" w:hAnsi="Times New Roman" w:cs="Times New Roman"/>
          <w:sz w:val="28"/>
          <w:szCs w:val="28"/>
        </w:rPr>
        <w:t xml:space="preserve">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2484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="002E0818" w:rsidRPr="00E2000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E0818" w:rsidRPr="00E2000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1,9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% </w:t>
      </w:r>
      <w:r w:rsidR="00766893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2E0818" w:rsidRPr="00E200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2E0818" w:rsidRPr="00E2000E">
        <w:rPr>
          <w:rFonts w:ascii="Times New Roman" w:hAnsi="Times New Roman" w:cs="Times New Roman"/>
          <w:sz w:val="28"/>
          <w:szCs w:val="28"/>
        </w:rPr>
        <w:t xml:space="preserve"> до планового </w:t>
      </w:r>
      <w:proofErr w:type="spellStart"/>
      <w:r w:rsidR="002E0818" w:rsidRPr="00E2000E">
        <w:rPr>
          <w:rFonts w:ascii="Times New Roman" w:hAnsi="Times New Roman" w:cs="Times New Roman"/>
          <w:sz w:val="28"/>
          <w:szCs w:val="28"/>
        </w:rPr>
        <w:t>показника</w:t>
      </w:r>
      <w:proofErr w:type="spellEnd"/>
      <w:r w:rsidR="00303EBA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періоду.</w:t>
      </w:r>
    </w:p>
    <w:p w:rsidR="00E2000E" w:rsidRPr="00303EBA" w:rsidRDefault="00E2000E" w:rsidP="00303EBA">
      <w:pPr>
        <w:spacing w:after="0" w:line="240" w:lineRule="auto"/>
        <w:ind w:right="28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3E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платежів до бюджету</w:t>
      </w:r>
    </w:p>
    <w:p w:rsidR="0064384C" w:rsidRPr="00C44FF6" w:rsidRDefault="0064384C" w:rsidP="00303EBA">
      <w:pPr>
        <w:pStyle w:val="ae"/>
        <w:spacing w:line="240" w:lineRule="auto"/>
        <w:ind w:left="1072" w:firstLine="0"/>
        <w:contextualSpacing/>
        <w:jc w:val="right"/>
        <w:rPr>
          <w:iCs/>
        </w:rPr>
      </w:pPr>
      <w:r w:rsidRPr="00C44FF6">
        <w:rPr>
          <w:iCs/>
        </w:rPr>
        <w:t>тис.грн.</w:t>
      </w:r>
    </w:p>
    <w:tbl>
      <w:tblPr>
        <w:tblW w:w="10915" w:type="dxa"/>
        <w:tblInd w:w="-1026" w:type="dxa"/>
        <w:tblLayout w:type="fixed"/>
        <w:tblLook w:val="04A0"/>
      </w:tblPr>
      <w:tblGrid>
        <w:gridCol w:w="3261"/>
        <w:gridCol w:w="850"/>
        <w:gridCol w:w="1276"/>
        <w:gridCol w:w="992"/>
        <w:gridCol w:w="1134"/>
        <w:gridCol w:w="992"/>
        <w:gridCol w:w="1276"/>
        <w:gridCol w:w="1134"/>
      </w:tblGrid>
      <w:tr w:rsidR="00E2000E" w:rsidRPr="009153FA" w:rsidTr="009E1D77">
        <w:trPr>
          <w:trHeight w:val="76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Найменування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Код рядка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Факт наростаючим </w:t>
            </w:r>
            <w:proofErr w:type="gram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ідсумком</w:t>
            </w:r>
            <w:r w:rsidR="00303EBA" w:rsidRPr="009153FA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з початку року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Звітний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період</w:t>
            </w:r>
            <w:proofErr w:type="spellEnd"/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r w:rsidR="00A831B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І</w:t>
            </w:r>
            <w:r w:rsidR="00100925" w:rsidRPr="007855DA"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квартал)</w:t>
            </w:r>
          </w:p>
        </w:tc>
      </w:tr>
      <w:tr w:rsidR="007C3CA1" w:rsidRPr="009153FA" w:rsidTr="009E1D77">
        <w:trPr>
          <w:trHeight w:val="7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A1" w:rsidRPr="009153FA" w:rsidRDefault="007C3CA1" w:rsidP="0091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CA1" w:rsidRPr="009153FA" w:rsidRDefault="007C3CA1" w:rsidP="00915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C15302">
            <w:pPr>
              <w:spacing w:after="0" w:line="240" w:lineRule="auto"/>
              <w:ind w:left="-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C1530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E061B2">
            <w:pPr>
              <w:spacing w:after="0" w:line="240" w:lineRule="auto"/>
              <w:ind w:left="-18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E06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C15302">
            <w:pPr>
              <w:spacing w:after="0" w:line="240" w:lineRule="auto"/>
              <w:ind w:left="-55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відхилення,+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/–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CA1" w:rsidRPr="009A12D1" w:rsidRDefault="007C3CA1" w:rsidP="00C1530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A12D1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303EBA" w:rsidRPr="009153FA" w:rsidTr="009E1D77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E" w:rsidRPr="009153FA" w:rsidRDefault="00E2000E" w:rsidP="009153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8459B7" w:rsidRPr="009153FA" w:rsidTr="009E1D7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Усього виплат на користь держави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66893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766893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7C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C3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  <w:r w:rsidRPr="00845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7C3CA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98,1</w:t>
            </w:r>
          </w:p>
        </w:tc>
      </w:tr>
      <w:tr w:rsidR="008459B7" w:rsidRPr="009153FA" w:rsidTr="009E1D77">
        <w:trPr>
          <w:trHeight w:val="7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Сплата податків та зборів до Державного бюджету України </w:t>
            </w:r>
            <w:r w:rsidRPr="009153FA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(податкові платежі) </w:t>
            </w:r>
            <w:r w:rsidRPr="009153FA">
              <w:rPr>
                <w:rFonts w:ascii="Times New Roman" w:hAnsi="Times New Roman" w:cs="Times New Roman"/>
              </w:rPr>
              <w:t xml:space="preserve">у т.ч.- податок на </w:t>
            </w:r>
            <w:r w:rsidRPr="009153FA">
              <w:rPr>
                <w:rFonts w:ascii="Times New Roman" w:hAnsi="Times New Roman" w:cs="Times New Roman"/>
                <w:lang w:val="uk-UA"/>
              </w:rPr>
              <w:t>додану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7C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3C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66,7</w:t>
            </w:r>
          </w:p>
        </w:tc>
      </w:tr>
      <w:tr w:rsidR="008459B7" w:rsidRPr="009153FA" w:rsidTr="009E1D77">
        <w:trPr>
          <w:trHeight w:val="6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Сплата податків та зборів до місцевих бюджетів (податкові платежі), усього, у тому числі:</w:t>
            </w:r>
            <w:r w:rsidRPr="009153FA">
              <w:rPr>
                <w:rFonts w:ascii="Times New Roman" w:hAnsi="Times New Roman" w:cs="Times New Roman"/>
              </w:rPr>
              <w:t xml:space="preserve"> у т.ч.  - податок з доходів фізичних </w:t>
            </w:r>
            <w:proofErr w:type="gramStart"/>
            <w:r w:rsidRPr="009153FA">
              <w:rPr>
                <w:rFonts w:ascii="Times New Roman" w:hAnsi="Times New Roman" w:cs="Times New Roman"/>
              </w:rPr>
              <w:t>осіб</w:t>
            </w:r>
            <w:proofErr w:type="gramEnd"/>
            <w:r w:rsidRPr="009153FA">
              <w:rPr>
                <w:rFonts w:ascii="Times New Roman" w:hAnsi="Times New Roman" w:cs="Times New Roman"/>
              </w:rPr>
              <w:t xml:space="preserve"> (</w:t>
            </w:r>
            <w:r w:rsidRPr="009153FA">
              <w:rPr>
                <w:rFonts w:ascii="Times New Roman" w:hAnsi="Times New Roman" w:cs="Times New Roman"/>
                <w:lang w:val="uk-UA"/>
              </w:rPr>
              <w:t>18</w:t>
            </w:r>
            <w:r w:rsidRPr="009153FA">
              <w:rPr>
                <w:rFonts w:ascii="Times New Roman" w:hAnsi="Times New Roman" w:cs="Times New Roman"/>
              </w:rPr>
              <w:t>%)</w:t>
            </w:r>
          </w:p>
          <w:p w:rsidR="008459B7" w:rsidRPr="009153FA" w:rsidRDefault="008459B7" w:rsidP="00BC05F0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lang w:val="uk-UA"/>
              </w:rPr>
              <w:t>земельний податок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3 507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4 495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7C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3C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</w:t>
            </w: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97,9</w:t>
            </w:r>
          </w:p>
        </w:tc>
      </w:tr>
      <w:tr w:rsidR="008459B7" w:rsidRPr="009153FA" w:rsidTr="009E1D7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9153FA" w:rsidRDefault="008459B7" w:rsidP="000E567C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Інші податки, збори та платежі на користь держави</w:t>
            </w:r>
            <w:r w:rsidRPr="009153FA">
              <w:rPr>
                <w:rFonts w:ascii="Times New Roman" w:hAnsi="Times New Roman" w:cs="Times New Roman"/>
                <w:bCs/>
              </w:rPr>
              <w:t xml:space="preserve"> у т. ч. Є</w:t>
            </w:r>
            <w:proofErr w:type="gramStart"/>
            <w:r w:rsidRPr="009153FA">
              <w:rPr>
                <w:rFonts w:ascii="Times New Roman" w:hAnsi="Times New Roman" w:cs="Times New Roman"/>
                <w:bCs/>
              </w:rPr>
              <w:t>СВ</w:t>
            </w:r>
            <w:proofErr w:type="gramEnd"/>
            <w:r w:rsidRPr="009153FA">
              <w:rPr>
                <w:rFonts w:ascii="Times New Roman" w:hAnsi="Times New Roman" w:cs="Times New Roman"/>
                <w:bCs/>
              </w:rPr>
              <w:t xml:space="preserve"> </w:t>
            </w:r>
            <w:r w:rsidRPr="009153FA">
              <w:rPr>
                <w:rFonts w:ascii="Times New Roman" w:hAnsi="Times New Roman" w:cs="Times New Roman"/>
                <w:bCs/>
                <w:lang w:val="uk-UA"/>
              </w:rPr>
              <w:t>інші податки, збори (військовий збір 1,5 %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9153FA" w:rsidRDefault="008459B7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4 522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8459B7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5 716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8459B7" w:rsidRDefault="008459B7" w:rsidP="007C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C3CA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9B7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99</w:t>
            </w:r>
          </w:p>
        </w:tc>
      </w:tr>
      <w:tr w:rsidR="00766893" w:rsidRPr="009153FA" w:rsidTr="009E1D77">
        <w:trPr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9153FA" w:rsidRDefault="00766893" w:rsidP="00BC05F0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Погашення  податкового боргу</w:t>
            </w:r>
            <w:r w:rsidRPr="009153FA">
              <w:rPr>
                <w:rFonts w:ascii="Times New Roman" w:hAnsi="Times New Roman" w:cs="Times New Roman"/>
                <w:bCs/>
                <w:lang w:val="uk-UA"/>
              </w:rPr>
              <w:t xml:space="preserve"> У т.ч.  – інші (штрафи, пені</w:t>
            </w:r>
            <w:r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9153FA" w:rsidRDefault="00766893" w:rsidP="009153FA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9153FA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ind w:right="28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9B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7C3CA1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893" w:rsidRPr="008459B7" w:rsidRDefault="00766893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1D77" w:rsidRDefault="009E1D77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Сплата податків та зборів до Державного бюджету України (податкові платежі), усього,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(рядок 2110)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склало у сумі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., що </w:t>
      </w:r>
      <w:r w:rsidR="00766893">
        <w:rPr>
          <w:rFonts w:ascii="Times New Roman" w:hAnsi="Times New Roman" w:cs="Times New Roman"/>
          <w:sz w:val="28"/>
          <w:szCs w:val="28"/>
          <w:lang w:val="uk-UA"/>
        </w:rPr>
        <w:t xml:space="preserve">менше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звіту 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 або </w:t>
      </w:r>
      <w:r w:rsidR="00CD7E14">
        <w:rPr>
          <w:rFonts w:ascii="Times New Roman" w:hAnsi="Times New Roman" w:cs="Times New Roman"/>
          <w:sz w:val="28"/>
          <w:szCs w:val="28"/>
          <w:lang w:val="uk-UA"/>
        </w:rPr>
        <w:t xml:space="preserve">виконано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66,7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Сплата податків та зборів до місцевих бюджетів (податкові платежі), усього, 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>(рядок 2120)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 склала </w:t>
      </w:r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сумі </w:t>
      </w:r>
      <w:r w:rsidR="00E061B2">
        <w:rPr>
          <w:rFonts w:ascii="Times New Roman" w:hAnsi="Times New Roman" w:cs="Times New Roman"/>
          <w:color w:val="000000"/>
          <w:sz w:val="28"/>
          <w:szCs w:val="28"/>
          <w:lang w:val="uk-UA"/>
        </w:rPr>
        <w:t>1096</w:t>
      </w:r>
      <w:r w:rsidR="00A831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 xml:space="preserve">план виконано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97,9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% у тому числі:</w:t>
      </w:r>
    </w:p>
    <w:p w:rsidR="00303EBA" w:rsidRPr="00303EBA" w:rsidRDefault="00303EBA" w:rsidP="00303EB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right="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-податок на доходи фізичних осіб -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1077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303EBA" w:rsidRPr="00303EBA" w:rsidRDefault="00303EBA" w:rsidP="00303EBA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right="2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-земельний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податок -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3EBA" w:rsidRPr="00303EBA" w:rsidRDefault="00303EBA" w:rsidP="00303EBA">
      <w:pPr>
        <w:spacing w:after="0" w:line="240" w:lineRule="auto"/>
        <w:ind w:right="28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Інші податки</w:t>
      </w:r>
      <w:r w:rsidRPr="00303EBA">
        <w:rPr>
          <w:rFonts w:ascii="Times New Roman" w:hAnsi="Times New Roman" w:cs="Times New Roman"/>
          <w:bCs/>
          <w:sz w:val="24"/>
          <w:szCs w:val="28"/>
          <w:lang w:val="uk-UA"/>
        </w:rPr>
        <w:t xml:space="preserve">, </w:t>
      </w:r>
      <w:r w:rsidRPr="00303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збори та платежі на користь держави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усього,</w:t>
      </w:r>
      <w:r w:rsidRPr="00303EB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(рядок 2130)</w:t>
      </w:r>
      <w:r w:rsidR="00C93359">
        <w:rPr>
          <w:rFonts w:ascii="Times New Roman" w:hAnsi="Times New Roman" w:cs="Times New Roman"/>
          <w:sz w:val="28"/>
          <w:szCs w:val="28"/>
          <w:lang w:val="uk-UA"/>
        </w:rPr>
        <w:t xml:space="preserve"> склало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1378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 xml:space="preserve">план виконано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="000C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>%, у тому числі:</w:t>
      </w:r>
    </w:p>
    <w:p w:rsidR="00303EBA" w:rsidRPr="00303EBA" w:rsidRDefault="00303EBA" w:rsidP="00303EBA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142" w:right="28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3EBA">
        <w:rPr>
          <w:rFonts w:ascii="Times New Roman" w:hAnsi="Times New Roman" w:cs="Times New Roman"/>
          <w:sz w:val="28"/>
          <w:szCs w:val="28"/>
          <w:lang w:val="uk-UA"/>
        </w:rPr>
        <w:t>-єдиний внесок на загальнообов’язкове державне страхування-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1287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303EBA" w:rsidRPr="00303EBA" w:rsidRDefault="00303EBA" w:rsidP="00303EBA">
      <w:pPr>
        <w:widowControl w:val="0"/>
        <w:numPr>
          <w:ilvl w:val="0"/>
          <w:numId w:val="12"/>
        </w:numPr>
        <w:tabs>
          <w:tab w:val="left" w:pos="142"/>
          <w:tab w:val="left" w:pos="426"/>
        </w:tabs>
        <w:autoSpaceDE w:val="0"/>
        <w:autoSpaceDN w:val="0"/>
        <w:spacing w:after="0" w:line="240" w:lineRule="auto"/>
        <w:ind w:left="142" w:right="28" w:firstLine="0"/>
        <w:contextualSpacing/>
        <w:jc w:val="both"/>
        <w:rPr>
          <w:rFonts w:ascii="Times New Roman" w:hAnsi="Times New Roman" w:cs="Times New Roman"/>
          <w:color w:val="000000"/>
          <w:sz w:val="32"/>
          <w:szCs w:val="28"/>
          <w:lang w:val="uk-UA"/>
        </w:rPr>
      </w:pP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-військовий</w:t>
      </w:r>
      <w:proofErr w:type="spellEnd"/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 збір-</w:t>
      </w:r>
      <w:r w:rsidR="00E061B2">
        <w:rPr>
          <w:rFonts w:ascii="Times New Roman" w:hAnsi="Times New Roman" w:cs="Times New Roman"/>
          <w:sz w:val="28"/>
          <w:szCs w:val="28"/>
          <w:lang w:val="uk-UA"/>
        </w:rPr>
        <w:t>91,</w:t>
      </w:r>
      <w:r w:rsidRPr="00303EBA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proofErr w:type="spellStart"/>
      <w:r w:rsidRPr="00303EB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8459B7" w:rsidRDefault="008459B7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</w:p>
    <w:p w:rsidR="00BC05F0" w:rsidRPr="00780F35" w:rsidRDefault="00BC05F0" w:rsidP="00066372">
      <w:pPr>
        <w:pStyle w:val="ae"/>
        <w:numPr>
          <w:ilvl w:val="0"/>
          <w:numId w:val="21"/>
        </w:numPr>
        <w:spacing w:line="240" w:lineRule="auto"/>
        <w:ind w:right="28"/>
        <w:contextualSpacing/>
        <w:jc w:val="center"/>
        <w:rPr>
          <w:b/>
          <w:i/>
          <w:iCs/>
          <w:sz w:val="28"/>
          <w:szCs w:val="28"/>
        </w:rPr>
      </w:pPr>
      <w:r w:rsidRPr="00780F35">
        <w:rPr>
          <w:b/>
          <w:i/>
          <w:iCs/>
          <w:sz w:val="28"/>
          <w:szCs w:val="28"/>
        </w:rPr>
        <w:lastRenderedPageBreak/>
        <w:t>КАПІТАЛЬНІ ІНВЕСТИЦІЇ ТА ІНВЕСТИЦІЙНА ДІЯЛЬНІСТЬ</w:t>
      </w:r>
      <w:r w:rsidR="007855DA" w:rsidRPr="007855DA">
        <w:rPr>
          <w:rStyle w:val="a4"/>
          <w:b/>
          <w:sz w:val="28"/>
          <w:szCs w:val="28"/>
        </w:rPr>
        <w:t xml:space="preserve"> </w:t>
      </w:r>
      <w:r w:rsidR="007855DA">
        <w:rPr>
          <w:rStyle w:val="a4"/>
          <w:b/>
          <w:sz w:val="28"/>
          <w:szCs w:val="28"/>
        </w:rPr>
        <w:t xml:space="preserve">ЗА </w:t>
      </w:r>
      <w:r w:rsidR="007855DA" w:rsidRPr="007855DA">
        <w:rPr>
          <w:b/>
          <w:i/>
          <w:sz w:val="28"/>
          <w:szCs w:val="28"/>
          <w:lang w:val="en-US"/>
        </w:rPr>
        <w:t>IV</w:t>
      </w:r>
      <w:r w:rsidR="007855DA" w:rsidRPr="007855DA">
        <w:rPr>
          <w:b/>
          <w:i/>
          <w:sz w:val="28"/>
          <w:szCs w:val="28"/>
        </w:rPr>
        <w:t xml:space="preserve"> КВАРТАЛ</w:t>
      </w:r>
      <w:r w:rsidR="007855DA" w:rsidRPr="0055178F">
        <w:rPr>
          <w:rStyle w:val="a4"/>
          <w:b/>
          <w:sz w:val="28"/>
          <w:szCs w:val="28"/>
        </w:rPr>
        <w:t xml:space="preserve"> 2021 РІК</w:t>
      </w:r>
    </w:p>
    <w:p w:rsidR="00384BEB" w:rsidRPr="00780F35" w:rsidRDefault="00384BEB" w:rsidP="00BC05F0">
      <w:pPr>
        <w:pStyle w:val="ae"/>
        <w:spacing w:line="240" w:lineRule="auto"/>
        <w:contextualSpacing/>
        <w:rPr>
          <w:bCs/>
          <w:i/>
          <w:iCs/>
          <w:sz w:val="28"/>
          <w:szCs w:val="28"/>
        </w:rPr>
      </w:pPr>
    </w:p>
    <w:p w:rsidR="00BC05F0" w:rsidRDefault="00BC05F0" w:rsidP="00384BEB">
      <w:pPr>
        <w:pStyle w:val="ae"/>
        <w:spacing w:line="240" w:lineRule="auto"/>
        <w:ind w:firstLine="709"/>
        <w:contextualSpacing/>
        <w:rPr>
          <w:sz w:val="28"/>
          <w:szCs w:val="28"/>
        </w:rPr>
      </w:pPr>
      <w:r w:rsidRPr="00BC05F0">
        <w:rPr>
          <w:b/>
          <w:i/>
          <w:sz w:val="28"/>
          <w:szCs w:val="28"/>
        </w:rPr>
        <w:t>Обсяги капітальних інвестицій (рядок 4000)</w:t>
      </w:r>
      <w:r w:rsidRPr="00BC0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C3CA1" w:rsidRPr="009227D6">
        <w:rPr>
          <w:sz w:val="28"/>
          <w:szCs w:val="28"/>
          <w:lang w:val="en-US"/>
        </w:rPr>
        <w:t>IV</w:t>
      </w:r>
      <w:r w:rsidR="007C3CA1" w:rsidRPr="009227D6">
        <w:rPr>
          <w:sz w:val="28"/>
          <w:szCs w:val="28"/>
          <w:lang w:val="ru-RU"/>
        </w:rPr>
        <w:t xml:space="preserve"> </w:t>
      </w:r>
      <w:r w:rsidR="007C3CA1" w:rsidRPr="009227D6">
        <w:rPr>
          <w:sz w:val="28"/>
          <w:szCs w:val="28"/>
        </w:rPr>
        <w:t>квартал</w:t>
      </w:r>
      <w:r w:rsidR="007C3CA1">
        <w:rPr>
          <w:sz w:val="28"/>
          <w:szCs w:val="28"/>
        </w:rPr>
        <w:t xml:space="preserve"> </w:t>
      </w:r>
      <w:r w:rsidRPr="00BC05F0">
        <w:rPr>
          <w:caps/>
          <w:sz w:val="28"/>
          <w:szCs w:val="28"/>
        </w:rPr>
        <w:t xml:space="preserve">2021 </w:t>
      </w:r>
      <w:r w:rsidRPr="00BC05F0">
        <w:rPr>
          <w:sz w:val="28"/>
          <w:szCs w:val="28"/>
        </w:rPr>
        <w:t xml:space="preserve">рік </w:t>
      </w:r>
      <w:r>
        <w:rPr>
          <w:sz w:val="28"/>
          <w:szCs w:val="28"/>
        </w:rPr>
        <w:t>склали</w:t>
      </w:r>
      <w:r w:rsidRPr="00BC05F0">
        <w:rPr>
          <w:sz w:val="28"/>
          <w:szCs w:val="28"/>
        </w:rPr>
        <w:t xml:space="preserve"> у сум</w:t>
      </w:r>
      <w:r w:rsidRPr="00BC05F0">
        <w:rPr>
          <w:bCs/>
          <w:iCs/>
          <w:sz w:val="28"/>
          <w:szCs w:val="28"/>
        </w:rPr>
        <w:t xml:space="preserve">і </w:t>
      </w:r>
      <w:r w:rsidR="00780F35">
        <w:rPr>
          <w:bCs/>
          <w:iCs/>
          <w:sz w:val="28"/>
          <w:szCs w:val="28"/>
        </w:rPr>
        <w:t>2734</w:t>
      </w:r>
      <w:r w:rsidR="00292F13">
        <w:rPr>
          <w:bCs/>
          <w:iCs/>
          <w:sz w:val="28"/>
          <w:szCs w:val="28"/>
        </w:rPr>
        <w:t>,0</w:t>
      </w:r>
      <w:r w:rsidR="003C4F17">
        <w:rPr>
          <w:bCs/>
          <w:iCs/>
          <w:sz w:val="28"/>
          <w:szCs w:val="28"/>
        </w:rPr>
        <w:t xml:space="preserve"> </w:t>
      </w:r>
      <w:proofErr w:type="spellStart"/>
      <w:r w:rsidR="003C4F17">
        <w:rPr>
          <w:bCs/>
          <w:iCs/>
          <w:sz w:val="28"/>
          <w:szCs w:val="28"/>
        </w:rPr>
        <w:t>тис.грн</w:t>
      </w:r>
      <w:proofErr w:type="spellEnd"/>
      <w:r w:rsidR="003C4F17">
        <w:rPr>
          <w:bCs/>
          <w:iCs/>
          <w:sz w:val="28"/>
          <w:szCs w:val="28"/>
        </w:rPr>
        <w:t xml:space="preserve">, виконано на </w:t>
      </w:r>
      <w:r w:rsidR="00780F35">
        <w:rPr>
          <w:bCs/>
          <w:iCs/>
          <w:sz w:val="28"/>
          <w:szCs w:val="28"/>
        </w:rPr>
        <w:t>61</w:t>
      </w:r>
      <w:r w:rsidR="003C4F17">
        <w:rPr>
          <w:bCs/>
          <w:iCs/>
          <w:sz w:val="28"/>
          <w:szCs w:val="28"/>
        </w:rPr>
        <w:t>%.</w:t>
      </w:r>
    </w:p>
    <w:p w:rsidR="00E12C5A" w:rsidRPr="000E390F" w:rsidRDefault="00E12C5A" w:rsidP="00384BEB">
      <w:pPr>
        <w:pStyle w:val="ae"/>
        <w:spacing w:line="240" w:lineRule="auto"/>
        <w:ind w:firstLine="709"/>
        <w:contextualSpacing/>
        <w:rPr>
          <w:b/>
          <w:iCs/>
          <w:sz w:val="28"/>
          <w:szCs w:val="28"/>
        </w:rPr>
      </w:pPr>
      <w:r w:rsidRPr="000E390F">
        <w:rPr>
          <w:bCs/>
          <w:iCs/>
          <w:sz w:val="28"/>
          <w:szCs w:val="28"/>
        </w:rPr>
        <w:t xml:space="preserve">Розвиток інвестиційної діяльності здійснювався  за рахунок </w:t>
      </w:r>
      <w:r w:rsidR="007A5564">
        <w:rPr>
          <w:bCs/>
          <w:iCs/>
          <w:sz w:val="28"/>
          <w:szCs w:val="28"/>
        </w:rPr>
        <w:t>власних коштів та коштів  НСЗУ</w:t>
      </w:r>
    </w:p>
    <w:tbl>
      <w:tblPr>
        <w:tblpPr w:leftFromText="180" w:rightFromText="180" w:vertAnchor="text" w:horzAnchor="margin" w:tblpXSpec="center" w:tblpY="62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59"/>
        <w:gridCol w:w="1559"/>
        <w:gridCol w:w="1418"/>
        <w:gridCol w:w="1100"/>
      </w:tblGrid>
      <w:tr w:rsidR="007C3CA1" w:rsidRPr="00336345" w:rsidTr="00C0326C">
        <w:trPr>
          <w:trHeight w:val="592"/>
        </w:trPr>
        <w:tc>
          <w:tcPr>
            <w:tcW w:w="4928" w:type="dxa"/>
          </w:tcPr>
          <w:p w:rsidR="007C3CA1" w:rsidRPr="005D5BCE" w:rsidRDefault="007C3CA1" w:rsidP="008459B7">
            <w:pPr>
              <w:pStyle w:val="ae"/>
              <w:spacing w:line="240" w:lineRule="auto"/>
              <w:ind w:firstLine="0"/>
              <w:contextualSpacing/>
              <w:jc w:val="center"/>
              <w:rPr>
                <w:szCs w:val="28"/>
              </w:rPr>
            </w:pPr>
          </w:p>
          <w:p w:rsidR="007C3CA1" w:rsidRPr="00336345" w:rsidRDefault="007C3CA1" w:rsidP="008459B7">
            <w:pPr>
              <w:pStyle w:val="ae"/>
              <w:spacing w:line="240" w:lineRule="auto"/>
              <w:ind w:firstLine="0"/>
              <w:contextualSpacing/>
              <w:jc w:val="center"/>
              <w:rPr>
                <w:bCs/>
                <w:iCs/>
              </w:rPr>
            </w:pPr>
            <w:r w:rsidRPr="009153FA">
              <w:rPr>
                <w:szCs w:val="28"/>
              </w:rPr>
              <w:t>Найменування показника</w:t>
            </w:r>
          </w:p>
        </w:tc>
        <w:tc>
          <w:tcPr>
            <w:tcW w:w="1559" w:type="dxa"/>
          </w:tcPr>
          <w:p w:rsidR="007C3CA1" w:rsidRPr="009153FA" w:rsidRDefault="007C3CA1" w:rsidP="008459B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153FA">
              <w:rPr>
                <w:rFonts w:ascii="Times New Roman" w:eastAsia="Times New Roman" w:hAnsi="Times New Roman" w:cs="Times New Roman"/>
                <w:sz w:val="24"/>
                <w:szCs w:val="28"/>
              </w:rPr>
              <w:t>Код рядка</w:t>
            </w:r>
          </w:p>
        </w:tc>
        <w:tc>
          <w:tcPr>
            <w:tcW w:w="1559" w:type="dxa"/>
            <w:vAlign w:val="center"/>
          </w:tcPr>
          <w:p w:rsidR="007C3CA1" w:rsidRPr="009A12D1" w:rsidRDefault="007C3CA1" w:rsidP="007C3CA1">
            <w:pPr>
              <w:spacing w:after="0" w:line="240" w:lineRule="auto"/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418" w:type="dxa"/>
            <w:vAlign w:val="center"/>
          </w:tcPr>
          <w:p w:rsidR="007C3CA1" w:rsidRPr="009A12D1" w:rsidRDefault="007C3CA1" w:rsidP="00E061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7855DA">
              <w:rPr>
                <w:rFonts w:ascii="Times New Roman" w:hAnsi="Times New Roman" w:cs="Times New Roman"/>
                <w:szCs w:val="28"/>
                <w:lang w:val="en-US"/>
              </w:rPr>
              <w:t>IV</w:t>
            </w:r>
            <w:r w:rsidRPr="007855DA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квартал</w:t>
            </w:r>
            <w:r w:rsidRPr="009A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</w:p>
        </w:tc>
        <w:tc>
          <w:tcPr>
            <w:tcW w:w="1100" w:type="dxa"/>
            <w:vAlign w:val="center"/>
          </w:tcPr>
          <w:p w:rsidR="007C3CA1" w:rsidRPr="00336345" w:rsidRDefault="007C3CA1" w:rsidP="00891299">
            <w:pPr>
              <w:pStyle w:val="ae"/>
              <w:spacing w:line="240" w:lineRule="auto"/>
              <w:ind w:left="-108" w:right="-142" w:firstLine="0"/>
              <w:contextualSpacing/>
              <w:jc w:val="center"/>
              <w:rPr>
                <w:bCs/>
                <w:iCs/>
              </w:rPr>
            </w:pPr>
            <w:r w:rsidRPr="009153FA">
              <w:rPr>
                <w:szCs w:val="28"/>
              </w:rPr>
              <w:t>виконання</w:t>
            </w:r>
            <w:r w:rsidRPr="00336345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ru-RU"/>
              </w:rPr>
              <w:t xml:space="preserve"> </w:t>
            </w:r>
            <w:r w:rsidRPr="00336345">
              <w:rPr>
                <w:bCs/>
                <w:iCs/>
              </w:rPr>
              <w:t>%</w:t>
            </w:r>
          </w:p>
        </w:tc>
      </w:tr>
      <w:tr w:rsidR="00D44844" w:rsidRPr="00336345" w:rsidTr="00780F35">
        <w:trPr>
          <w:trHeight w:val="229"/>
        </w:trPr>
        <w:tc>
          <w:tcPr>
            <w:tcW w:w="4928" w:type="dxa"/>
            <w:vAlign w:val="center"/>
          </w:tcPr>
          <w:p w:rsidR="00D44844" w:rsidRPr="0033634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/>
                <w:iCs/>
              </w:rPr>
            </w:pPr>
            <w:r w:rsidRPr="00336345">
              <w:rPr>
                <w:b/>
                <w:iCs/>
              </w:rPr>
              <w:t>Всього капітальних інвестицій</w:t>
            </w:r>
            <w:r w:rsidRPr="00336345"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4000</w:t>
            </w:r>
          </w:p>
        </w:tc>
        <w:tc>
          <w:tcPr>
            <w:tcW w:w="1559" w:type="dxa"/>
            <w:vAlign w:val="center"/>
          </w:tcPr>
          <w:p w:rsidR="00D44844" w:rsidRPr="008459B7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50</w:t>
            </w:r>
          </w:p>
        </w:tc>
        <w:tc>
          <w:tcPr>
            <w:tcW w:w="1418" w:type="dxa"/>
            <w:vAlign w:val="center"/>
          </w:tcPr>
          <w:p w:rsidR="00D44844" w:rsidRPr="008459B7" w:rsidRDefault="007C3CA1" w:rsidP="007C3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50</w:t>
            </w:r>
          </w:p>
        </w:tc>
        <w:tc>
          <w:tcPr>
            <w:tcW w:w="1100" w:type="dxa"/>
            <w:vAlign w:val="center"/>
          </w:tcPr>
          <w:p w:rsidR="00D44844" w:rsidRPr="00C0326C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100</w:t>
            </w:r>
          </w:p>
        </w:tc>
      </w:tr>
      <w:tr w:rsidR="00D44844" w:rsidRPr="00336345" w:rsidTr="00780F35">
        <w:trPr>
          <w:trHeight w:val="277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iCs/>
              </w:rPr>
              <w:t xml:space="preserve">Капітальне будівництво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4010</w:t>
            </w:r>
          </w:p>
        </w:tc>
        <w:tc>
          <w:tcPr>
            <w:tcW w:w="1559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D44844" w:rsidRPr="00336345" w:rsidTr="00780F35">
        <w:trPr>
          <w:trHeight w:val="520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iCs/>
              </w:rPr>
              <w:t xml:space="preserve">Придбання основних засобів та нематеріальних активів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4020</w:t>
            </w:r>
          </w:p>
        </w:tc>
        <w:tc>
          <w:tcPr>
            <w:tcW w:w="1559" w:type="dxa"/>
            <w:vAlign w:val="center"/>
          </w:tcPr>
          <w:p w:rsidR="00D44844" w:rsidRPr="008459B7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418" w:type="dxa"/>
            <w:vAlign w:val="center"/>
          </w:tcPr>
          <w:p w:rsidR="00D44844" w:rsidRPr="008459B7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</w:t>
            </w:r>
          </w:p>
        </w:tc>
        <w:tc>
          <w:tcPr>
            <w:tcW w:w="1100" w:type="dxa"/>
            <w:vAlign w:val="center"/>
          </w:tcPr>
          <w:p w:rsidR="00D44844" w:rsidRPr="00C0326C" w:rsidRDefault="007C3CA1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</w:t>
            </w:r>
          </w:p>
        </w:tc>
      </w:tr>
      <w:tr w:rsidR="00D44844" w:rsidRPr="00336345" w:rsidTr="00C0326C">
        <w:trPr>
          <w:trHeight w:val="315"/>
        </w:trPr>
        <w:tc>
          <w:tcPr>
            <w:tcW w:w="4928" w:type="dxa"/>
          </w:tcPr>
          <w:p w:rsidR="00D44844" w:rsidRPr="00780F35" w:rsidRDefault="00C0326C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iCs/>
              </w:rPr>
            </w:pPr>
            <w:r w:rsidRPr="00780F35">
              <w:rPr>
                <w:iCs/>
              </w:rPr>
              <w:t xml:space="preserve">Реконструкція та модернізація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4050</w:t>
            </w:r>
          </w:p>
        </w:tc>
        <w:tc>
          <w:tcPr>
            <w:tcW w:w="1559" w:type="dxa"/>
            <w:vAlign w:val="center"/>
          </w:tcPr>
          <w:p w:rsidR="00D44844" w:rsidRPr="00C0326C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44844" w:rsidRPr="00C0326C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44844" w:rsidRPr="00336345" w:rsidTr="00780F35">
        <w:trPr>
          <w:trHeight w:val="193"/>
        </w:trPr>
        <w:tc>
          <w:tcPr>
            <w:tcW w:w="4928" w:type="dxa"/>
          </w:tcPr>
          <w:p w:rsidR="00D44844" w:rsidRPr="00780F35" w:rsidRDefault="00D44844" w:rsidP="00780F35">
            <w:pPr>
              <w:pStyle w:val="ae"/>
              <w:spacing w:line="240" w:lineRule="auto"/>
              <w:ind w:firstLine="0"/>
              <w:contextualSpacing/>
              <w:jc w:val="left"/>
              <w:rPr>
                <w:bCs/>
                <w:iCs/>
              </w:rPr>
            </w:pPr>
            <w:r w:rsidRPr="00780F35">
              <w:rPr>
                <w:bCs/>
                <w:iCs/>
              </w:rPr>
              <w:t xml:space="preserve"> </w:t>
            </w:r>
            <w:r w:rsidR="00C0326C" w:rsidRPr="00780F35">
              <w:rPr>
                <w:iCs/>
              </w:rPr>
              <w:t xml:space="preserve"> Капітальний ремонт </w:t>
            </w:r>
          </w:p>
        </w:tc>
        <w:tc>
          <w:tcPr>
            <w:tcW w:w="1559" w:type="dxa"/>
          </w:tcPr>
          <w:p w:rsidR="00D44844" w:rsidRPr="00C0326C" w:rsidRDefault="00C0326C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4060</w:t>
            </w:r>
          </w:p>
        </w:tc>
        <w:tc>
          <w:tcPr>
            <w:tcW w:w="1559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44844" w:rsidRPr="00D44844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44844" w:rsidRPr="00C0326C" w:rsidRDefault="00D44844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D44844" w:rsidRDefault="00D44844" w:rsidP="009E1D77">
      <w:pPr>
        <w:spacing w:after="0" w:line="240" w:lineRule="auto"/>
        <w:ind w:right="28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E430C" w:rsidRDefault="00BC05F0" w:rsidP="009E1D77">
      <w:pPr>
        <w:spacing w:after="0" w:line="240" w:lineRule="auto"/>
        <w:ind w:right="28" w:firstLine="567"/>
        <w:contextualSpacing/>
        <w:jc w:val="both"/>
        <w:outlineLvl w:val="0"/>
        <w:rPr>
          <w:rStyle w:val="a4"/>
          <w:rFonts w:ascii="Times New Roman" w:hAnsi="Times New Roman"/>
          <w:i w:val="0"/>
          <w:sz w:val="32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</w:t>
      </w:r>
      <w:r w:rsidR="00F476DC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Pr="00BC05F0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найважливіших  питань, </w:t>
      </w:r>
      <w:r w:rsidR="008459B7">
        <w:rPr>
          <w:rFonts w:ascii="Times New Roman" w:hAnsi="Times New Roman" w:cs="Times New Roman"/>
          <w:sz w:val="28"/>
          <w:szCs w:val="28"/>
          <w:lang w:val="uk-UA"/>
        </w:rPr>
        <w:t>а саме придбано;</w:t>
      </w:r>
      <w:r w:rsidR="00E12C5A" w:rsidRPr="00C93359">
        <w:rPr>
          <w:rStyle w:val="a4"/>
          <w:rFonts w:ascii="Times New Roman" w:hAnsi="Times New Roman"/>
          <w:i w:val="0"/>
          <w:sz w:val="32"/>
          <w:szCs w:val="28"/>
          <w:lang w:val="uk-UA"/>
        </w:rPr>
        <w:t xml:space="preserve"> </w:t>
      </w:r>
    </w:p>
    <w:tbl>
      <w:tblPr>
        <w:tblW w:w="8546" w:type="dxa"/>
        <w:tblInd w:w="88" w:type="dxa"/>
        <w:tblLook w:val="04A0"/>
      </w:tblPr>
      <w:tblGrid>
        <w:gridCol w:w="4273"/>
        <w:gridCol w:w="4273"/>
      </w:tblGrid>
      <w:tr w:rsidR="008459B7" w:rsidRPr="008459B7" w:rsidTr="00780F35">
        <w:trPr>
          <w:trHeight w:val="26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9B7" w:rsidRPr="007C3CA1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</w:pPr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Ремонт </w:t>
            </w:r>
            <w:proofErr w:type="spellStart"/>
            <w:r w:rsidRPr="008459B7">
              <w:rPr>
                <w:rFonts w:ascii="Times New Roman" w:eastAsia="Times New Roman" w:hAnsi="Times New Roman" w:cs="Times New Roman"/>
                <w:sz w:val="24"/>
                <w:szCs w:val="28"/>
              </w:rPr>
              <w:t>ренгенапарату</w:t>
            </w:r>
            <w:proofErr w:type="spellEnd"/>
            <w:r w:rsidR="007C3CA1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 xml:space="preserve"> (придбання рентген трубки)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59B7" w:rsidRPr="007C3CA1" w:rsidRDefault="008459B7" w:rsidP="008459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780F35">
              <w:rPr>
                <w:rFonts w:ascii="Times New Roman" w:hAnsi="Times New Roman" w:cs="Times New Roman"/>
                <w:bCs/>
                <w:sz w:val="24"/>
                <w:szCs w:val="28"/>
              </w:rPr>
              <w:t>50</w:t>
            </w:r>
          </w:p>
        </w:tc>
      </w:tr>
    </w:tbl>
    <w:p w:rsidR="00D44844" w:rsidRDefault="00D44844" w:rsidP="00852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520C4" w:rsidRPr="008E255E" w:rsidRDefault="00E12C5A" w:rsidP="008E25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 функціонування та виконання Фінансового плану</w:t>
      </w:r>
      <w:r w:rsidR="00066372" w:rsidRPr="00066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="007C3CA1" w:rsidRPr="009227D6">
        <w:rPr>
          <w:rFonts w:ascii="Times New Roman" w:hAnsi="Times New Roman"/>
          <w:sz w:val="28"/>
          <w:szCs w:val="28"/>
          <w:lang w:val="en-US"/>
        </w:rPr>
        <w:t>IV</w:t>
      </w:r>
      <w:r w:rsidR="007C3CA1" w:rsidRPr="009227D6">
        <w:rPr>
          <w:rFonts w:ascii="Times New Roman" w:hAnsi="Times New Roman"/>
          <w:sz w:val="28"/>
          <w:szCs w:val="28"/>
        </w:rPr>
        <w:t xml:space="preserve"> квартал</w:t>
      </w:r>
      <w:r w:rsidR="007C3C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06637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комунальне некомерційне підприємство «Ніжинська центральна районна лікарня» отримало </w:t>
      </w:r>
      <w:r w:rsidR="00C0326C">
        <w:rPr>
          <w:rFonts w:ascii="Times New Roman" w:eastAsia="Times New Roman" w:hAnsi="Times New Roman" w:cs="Times New Roman"/>
          <w:sz w:val="28"/>
          <w:szCs w:val="28"/>
          <w:lang w:val="uk-UA"/>
        </w:rPr>
        <w:t>мінусовий</w:t>
      </w:r>
      <w:r w:rsidR="008E25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</w:t>
      </w:r>
      <w:r w:rsidRPr="00700B2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520C4"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20C4" w:rsidRPr="008520C4" w:rsidRDefault="008520C4" w:rsidP="00852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Залишок грошових коштів на розрахунковому рахунку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КНП «Ніжинська ЦРЛ» 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на кінець звітного періоду склав 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3884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8520C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520C4">
        <w:rPr>
          <w:rFonts w:ascii="Times New Roman" w:hAnsi="Times New Roman" w:cs="Times New Roman"/>
          <w:sz w:val="28"/>
          <w:szCs w:val="28"/>
          <w:lang w:val="uk-UA"/>
        </w:rPr>
        <w:t>., що забезпечує можливість своєчасної виплати заробітної плати працівникам підприємства та проведення інших невідкладних витрат по наданню медичної допомоги населенню у наступних звітних періодах 202</w:t>
      </w:r>
      <w:r w:rsidR="00780F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520C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344E5" w:rsidRPr="00BC05F0" w:rsidRDefault="009E1D77" w:rsidP="00384BEB">
      <w:pPr>
        <w:spacing w:after="0" w:line="240" w:lineRule="auto"/>
        <w:ind w:right="17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КНП «Ніжинська ЦРЛ» за звітний період покрили витрати</w:t>
      </w:r>
      <w:r w:rsidR="00292F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F35" w:rsidRDefault="00780F35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5F0" w:rsidRPr="00D316E8" w:rsidRDefault="008520C4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Усього доходів: </w:t>
      </w:r>
      <w:r w:rsidR="007C3CA1">
        <w:rPr>
          <w:rFonts w:ascii="Times New Roman" w:hAnsi="Times New Roman" w:cs="Times New Roman"/>
          <w:sz w:val="28"/>
          <w:szCs w:val="28"/>
          <w:lang w:val="uk-UA"/>
        </w:rPr>
        <w:t>11260</w:t>
      </w:r>
      <w:r w:rsidR="00D316E8"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="00D316E8"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D316E8" w:rsidRPr="00D316E8" w:rsidRDefault="00D316E8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Усього витрат: </w:t>
      </w:r>
      <w:r w:rsidR="007C3CA1">
        <w:rPr>
          <w:rFonts w:ascii="Times New Roman" w:hAnsi="Times New Roman" w:cs="Times New Roman"/>
          <w:sz w:val="28"/>
          <w:szCs w:val="28"/>
          <w:lang w:val="uk-UA"/>
        </w:rPr>
        <w:t>12209,0</w:t>
      </w: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780F35" w:rsidRDefault="00780F35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6E8" w:rsidRPr="00D316E8" w:rsidRDefault="00D316E8" w:rsidP="00BC05F0">
      <w:pPr>
        <w:tabs>
          <w:tab w:val="left" w:pos="9923"/>
        </w:tabs>
        <w:ind w:right="28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результат:  </w:t>
      </w:r>
      <w:r w:rsidR="007C3CA1">
        <w:rPr>
          <w:rFonts w:ascii="Times New Roman" w:hAnsi="Times New Roman" w:cs="Times New Roman"/>
          <w:sz w:val="28"/>
          <w:szCs w:val="28"/>
          <w:lang w:val="uk-UA"/>
        </w:rPr>
        <w:t>збиток 949</w:t>
      </w:r>
      <w:r w:rsidRPr="00D316E8">
        <w:rPr>
          <w:rFonts w:ascii="Times New Roman" w:hAnsi="Times New Roman" w:cs="Times New Roman"/>
          <w:sz w:val="28"/>
          <w:szCs w:val="28"/>
          <w:lang w:val="uk-UA"/>
        </w:rPr>
        <w:t xml:space="preserve">,0 </w:t>
      </w:r>
      <w:proofErr w:type="spellStart"/>
      <w:r w:rsidRPr="00D316E8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</w:p>
    <w:p w:rsidR="008520C4" w:rsidRDefault="008520C4" w:rsidP="00384BEB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755AA" w:rsidRDefault="00D755AA" w:rsidP="00384BEB">
      <w:pPr>
        <w:spacing w:after="0" w:line="240" w:lineRule="auto"/>
        <w:ind w:right="17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C5552" w:rsidRPr="00700B28" w:rsidRDefault="007C5552" w:rsidP="008520C4">
      <w:pPr>
        <w:spacing w:after="0" w:line="240" w:lineRule="auto"/>
        <w:ind w:right="170" w:firstLine="567"/>
        <w:contextualSpacing/>
        <w:jc w:val="both"/>
        <w:rPr>
          <w:rFonts w:ascii="Times New Roman" w:hAnsi="Times New Roman" w:cs="Times New Roman"/>
          <w:lang w:val="uk-UA"/>
        </w:rPr>
      </w:pP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Генеральний директор</w:t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700B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Ю.СОЛОДЬКО</w:t>
      </w:r>
    </w:p>
    <w:sectPr w:rsidR="007C5552" w:rsidRPr="00700B28" w:rsidSect="003B76B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6D"/>
    <w:multiLevelType w:val="multilevel"/>
    <w:tmpl w:val="E9F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7F21"/>
    <w:multiLevelType w:val="hybridMultilevel"/>
    <w:tmpl w:val="F5069E70"/>
    <w:lvl w:ilvl="0" w:tplc="AA90C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7B08"/>
    <w:multiLevelType w:val="multilevel"/>
    <w:tmpl w:val="CCBAA7D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124345F8"/>
    <w:multiLevelType w:val="hybridMultilevel"/>
    <w:tmpl w:val="6F800C14"/>
    <w:lvl w:ilvl="0" w:tplc="9676D100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6B4743"/>
    <w:multiLevelType w:val="hybridMultilevel"/>
    <w:tmpl w:val="1A0A55B2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846"/>
    <w:multiLevelType w:val="hybridMultilevel"/>
    <w:tmpl w:val="8780C8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A02587"/>
    <w:multiLevelType w:val="hybridMultilevel"/>
    <w:tmpl w:val="D1C2B394"/>
    <w:lvl w:ilvl="0" w:tplc="D200C2EE">
      <w:start w:val="53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801241A"/>
    <w:multiLevelType w:val="hybridMultilevel"/>
    <w:tmpl w:val="676609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2322A2"/>
    <w:multiLevelType w:val="multilevel"/>
    <w:tmpl w:val="D890BCA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863082"/>
    <w:multiLevelType w:val="hybridMultilevel"/>
    <w:tmpl w:val="73DAE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600BFA"/>
    <w:multiLevelType w:val="hybridMultilevel"/>
    <w:tmpl w:val="6A1C119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0D15144"/>
    <w:multiLevelType w:val="hybridMultilevel"/>
    <w:tmpl w:val="A8E4A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917F6F"/>
    <w:multiLevelType w:val="hybridMultilevel"/>
    <w:tmpl w:val="0ED2F746"/>
    <w:lvl w:ilvl="0" w:tplc="0419000D">
      <w:start w:val="1"/>
      <w:numFmt w:val="bullet"/>
      <w:lvlText w:val=""/>
      <w:lvlJc w:val="left"/>
      <w:pPr>
        <w:ind w:left="2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54655FFE"/>
    <w:multiLevelType w:val="hybridMultilevel"/>
    <w:tmpl w:val="C1E4BF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8FE48EE"/>
    <w:multiLevelType w:val="hybridMultilevel"/>
    <w:tmpl w:val="DCA439E6"/>
    <w:lvl w:ilvl="0" w:tplc="D6D6690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E01C37"/>
    <w:multiLevelType w:val="multilevel"/>
    <w:tmpl w:val="32707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  <w:color w:val="FF0000"/>
      </w:rPr>
    </w:lvl>
  </w:abstractNum>
  <w:abstractNum w:abstractNumId="16">
    <w:nsid w:val="641D0228"/>
    <w:multiLevelType w:val="multilevel"/>
    <w:tmpl w:val="CCBAA7DA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767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7">
    <w:nsid w:val="6AB731A7"/>
    <w:multiLevelType w:val="multilevel"/>
    <w:tmpl w:val="443409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  <w:color w:val="FF0000"/>
        <w:sz w:val="28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/>
        <w:i/>
        <w:color w:val="FF0000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  <w:i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  <w:i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i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  <w:i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i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  <w:i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i/>
        <w:color w:val="FF0000"/>
        <w:sz w:val="28"/>
      </w:rPr>
    </w:lvl>
  </w:abstractNum>
  <w:abstractNum w:abstractNumId="18">
    <w:nsid w:val="702C292A"/>
    <w:multiLevelType w:val="hybridMultilevel"/>
    <w:tmpl w:val="B63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09677DB"/>
    <w:multiLevelType w:val="multilevel"/>
    <w:tmpl w:val="F19A61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single"/>
      </w:rPr>
    </w:lvl>
  </w:abstractNum>
  <w:abstractNum w:abstractNumId="20">
    <w:nsid w:val="741758BD"/>
    <w:multiLevelType w:val="hybridMultilevel"/>
    <w:tmpl w:val="49C0DE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14"/>
  </w:num>
  <w:num w:numId="11">
    <w:abstractNumId w:val="11"/>
  </w:num>
  <w:num w:numId="12">
    <w:abstractNumId w:val="5"/>
  </w:num>
  <w:num w:numId="13">
    <w:abstractNumId w:val="18"/>
  </w:num>
  <w:num w:numId="14">
    <w:abstractNumId w:val="17"/>
  </w:num>
  <w:num w:numId="15">
    <w:abstractNumId w:val="9"/>
  </w:num>
  <w:num w:numId="16">
    <w:abstractNumId w:val="1"/>
  </w:num>
  <w:num w:numId="17">
    <w:abstractNumId w:val="16"/>
  </w:num>
  <w:num w:numId="18">
    <w:abstractNumId w:val="15"/>
  </w:num>
  <w:num w:numId="19">
    <w:abstractNumId w:val="20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7C5552"/>
    <w:rsid w:val="000002E4"/>
    <w:rsid w:val="000053D3"/>
    <w:rsid w:val="00066372"/>
    <w:rsid w:val="00086678"/>
    <w:rsid w:val="00086B27"/>
    <w:rsid w:val="00091253"/>
    <w:rsid w:val="000B0BAD"/>
    <w:rsid w:val="000B381E"/>
    <w:rsid w:val="000C1897"/>
    <w:rsid w:val="000C1E44"/>
    <w:rsid w:val="000C60D9"/>
    <w:rsid w:val="000E430C"/>
    <w:rsid w:val="000E567C"/>
    <w:rsid w:val="000E61B8"/>
    <w:rsid w:val="000F070A"/>
    <w:rsid w:val="00100925"/>
    <w:rsid w:val="00120CDC"/>
    <w:rsid w:val="0013541C"/>
    <w:rsid w:val="00143E2E"/>
    <w:rsid w:val="00157001"/>
    <w:rsid w:val="001806DB"/>
    <w:rsid w:val="001847A8"/>
    <w:rsid w:val="001919E7"/>
    <w:rsid w:val="001A4DBA"/>
    <w:rsid w:val="001A667E"/>
    <w:rsid w:val="001C5C6F"/>
    <w:rsid w:val="001C6B0E"/>
    <w:rsid w:val="001E2B9F"/>
    <w:rsid w:val="002007C8"/>
    <w:rsid w:val="00232BB5"/>
    <w:rsid w:val="00271315"/>
    <w:rsid w:val="0028270C"/>
    <w:rsid w:val="00292F13"/>
    <w:rsid w:val="002A7AB8"/>
    <w:rsid w:val="002B1AEB"/>
    <w:rsid w:val="002D515E"/>
    <w:rsid w:val="002E0818"/>
    <w:rsid w:val="002F2A24"/>
    <w:rsid w:val="002F56DE"/>
    <w:rsid w:val="00303EBA"/>
    <w:rsid w:val="003322F6"/>
    <w:rsid w:val="00336345"/>
    <w:rsid w:val="003658B9"/>
    <w:rsid w:val="0036700B"/>
    <w:rsid w:val="00372651"/>
    <w:rsid w:val="00384BEB"/>
    <w:rsid w:val="003B76B4"/>
    <w:rsid w:val="003C4D83"/>
    <w:rsid w:val="003C4F17"/>
    <w:rsid w:val="003E5047"/>
    <w:rsid w:val="003E55D3"/>
    <w:rsid w:val="00412118"/>
    <w:rsid w:val="00423089"/>
    <w:rsid w:val="0042768A"/>
    <w:rsid w:val="00435790"/>
    <w:rsid w:val="004366B6"/>
    <w:rsid w:val="0046491C"/>
    <w:rsid w:val="00482224"/>
    <w:rsid w:val="00494A21"/>
    <w:rsid w:val="00497F5D"/>
    <w:rsid w:val="004A7C6E"/>
    <w:rsid w:val="004E00C9"/>
    <w:rsid w:val="004E4D73"/>
    <w:rsid w:val="00515EB0"/>
    <w:rsid w:val="0055178F"/>
    <w:rsid w:val="005B4DD1"/>
    <w:rsid w:val="005B503E"/>
    <w:rsid w:val="005C4E3F"/>
    <w:rsid w:val="005D15D1"/>
    <w:rsid w:val="005D5BCE"/>
    <w:rsid w:val="005E34EA"/>
    <w:rsid w:val="00600D74"/>
    <w:rsid w:val="006217B4"/>
    <w:rsid w:val="00621C74"/>
    <w:rsid w:val="0064384C"/>
    <w:rsid w:val="00676B63"/>
    <w:rsid w:val="006870EF"/>
    <w:rsid w:val="006A47D6"/>
    <w:rsid w:val="006C7C6B"/>
    <w:rsid w:val="006E4641"/>
    <w:rsid w:val="006E59B2"/>
    <w:rsid w:val="006F6F6E"/>
    <w:rsid w:val="00700B28"/>
    <w:rsid w:val="00700D38"/>
    <w:rsid w:val="00712C82"/>
    <w:rsid w:val="0072207F"/>
    <w:rsid w:val="00722DDD"/>
    <w:rsid w:val="007356F5"/>
    <w:rsid w:val="00736391"/>
    <w:rsid w:val="0074344D"/>
    <w:rsid w:val="00750417"/>
    <w:rsid w:val="0076443C"/>
    <w:rsid w:val="007657F4"/>
    <w:rsid w:val="00766893"/>
    <w:rsid w:val="00780054"/>
    <w:rsid w:val="00780F35"/>
    <w:rsid w:val="00781150"/>
    <w:rsid w:val="00782C6B"/>
    <w:rsid w:val="007855DA"/>
    <w:rsid w:val="0079188C"/>
    <w:rsid w:val="007A5564"/>
    <w:rsid w:val="007B1B46"/>
    <w:rsid w:val="007C2A02"/>
    <w:rsid w:val="007C3CA1"/>
    <w:rsid w:val="007C5552"/>
    <w:rsid w:val="007F27D9"/>
    <w:rsid w:val="007F2BA9"/>
    <w:rsid w:val="00800FE9"/>
    <w:rsid w:val="00801829"/>
    <w:rsid w:val="00817F31"/>
    <w:rsid w:val="0082141D"/>
    <w:rsid w:val="008459B7"/>
    <w:rsid w:val="008519CB"/>
    <w:rsid w:val="008520C4"/>
    <w:rsid w:val="00891299"/>
    <w:rsid w:val="008C18C8"/>
    <w:rsid w:val="008E255E"/>
    <w:rsid w:val="008E3966"/>
    <w:rsid w:val="008E53B8"/>
    <w:rsid w:val="009153FA"/>
    <w:rsid w:val="00916E26"/>
    <w:rsid w:val="009227D6"/>
    <w:rsid w:val="009476EB"/>
    <w:rsid w:val="009577B8"/>
    <w:rsid w:val="0096798A"/>
    <w:rsid w:val="00987FE0"/>
    <w:rsid w:val="00990DC6"/>
    <w:rsid w:val="009A12D1"/>
    <w:rsid w:val="009A1D7C"/>
    <w:rsid w:val="009B4B37"/>
    <w:rsid w:val="009C5463"/>
    <w:rsid w:val="009E1D77"/>
    <w:rsid w:val="009E3D55"/>
    <w:rsid w:val="00A02ACF"/>
    <w:rsid w:val="00A1404D"/>
    <w:rsid w:val="00A14F64"/>
    <w:rsid w:val="00A1582F"/>
    <w:rsid w:val="00A16EA4"/>
    <w:rsid w:val="00A22879"/>
    <w:rsid w:val="00A23A6F"/>
    <w:rsid w:val="00A344E5"/>
    <w:rsid w:val="00A47F77"/>
    <w:rsid w:val="00A57DFB"/>
    <w:rsid w:val="00A72F19"/>
    <w:rsid w:val="00A831B1"/>
    <w:rsid w:val="00A936E3"/>
    <w:rsid w:val="00AB0E15"/>
    <w:rsid w:val="00AF7B00"/>
    <w:rsid w:val="00B032AA"/>
    <w:rsid w:val="00B05BB4"/>
    <w:rsid w:val="00B1403E"/>
    <w:rsid w:val="00B21A34"/>
    <w:rsid w:val="00B2325F"/>
    <w:rsid w:val="00B27B68"/>
    <w:rsid w:val="00B304AD"/>
    <w:rsid w:val="00B5084E"/>
    <w:rsid w:val="00B57755"/>
    <w:rsid w:val="00B603A6"/>
    <w:rsid w:val="00B603EA"/>
    <w:rsid w:val="00B60922"/>
    <w:rsid w:val="00B7267A"/>
    <w:rsid w:val="00B73FCB"/>
    <w:rsid w:val="00B90F02"/>
    <w:rsid w:val="00BA270C"/>
    <w:rsid w:val="00BC05F0"/>
    <w:rsid w:val="00BE2130"/>
    <w:rsid w:val="00C0326C"/>
    <w:rsid w:val="00C1282B"/>
    <w:rsid w:val="00C15302"/>
    <w:rsid w:val="00C23FCF"/>
    <w:rsid w:val="00C57AD5"/>
    <w:rsid w:val="00C57CD8"/>
    <w:rsid w:val="00C6336E"/>
    <w:rsid w:val="00C670BB"/>
    <w:rsid w:val="00C80CEF"/>
    <w:rsid w:val="00C85BF7"/>
    <w:rsid w:val="00C93359"/>
    <w:rsid w:val="00CC682F"/>
    <w:rsid w:val="00CD0E8A"/>
    <w:rsid w:val="00CD3A7C"/>
    <w:rsid w:val="00CD4E5E"/>
    <w:rsid w:val="00CD7E14"/>
    <w:rsid w:val="00CE431A"/>
    <w:rsid w:val="00CF05D9"/>
    <w:rsid w:val="00CF24EC"/>
    <w:rsid w:val="00CF3984"/>
    <w:rsid w:val="00CF5824"/>
    <w:rsid w:val="00D03459"/>
    <w:rsid w:val="00D131A1"/>
    <w:rsid w:val="00D316E8"/>
    <w:rsid w:val="00D44844"/>
    <w:rsid w:val="00D4605F"/>
    <w:rsid w:val="00D5178D"/>
    <w:rsid w:val="00D655FE"/>
    <w:rsid w:val="00D755AA"/>
    <w:rsid w:val="00D852AF"/>
    <w:rsid w:val="00D92D84"/>
    <w:rsid w:val="00DB3B21"/>
    <w:rsid w:val="00DC08E4"/>
    <w:rsid w:val="00E061B2"/>
    <w:rsid w:val="00E07B24"/>
    <w:rsid w:val="00E10A60"/>
    <w:rsid w:val="00E12C5A"/>
    <w:rsid w:val="00E16077"/>
    <w:rsid w:val="00E2000E"/>
    <w:rsid w:val="00E20793"/>
    <w:rsid w:val="00E57DE6"/>
    <w:rsid w:val="00E874BE"/>
    <w:rsid w:val="00E96DF4"/>
    <w:rsid w:val="00EA737A"/>
    <w:rsid w:val="00EC0AC0"/>
    <w:rsid w:val="00EC28C0"/>
    <w:rsid w:val="00EE7EF5"/>
    <w:rsid w:val="00EF5D8E"/>
    <w:rsid w:val="00EF7758"/>
    <w:rsid w:val="00EF7A76"/>
    <w:rsid w:val="00F12515"/>
    <w:rsid w:val="00F15D95"/>
    <w:rsid w:val="00F344E1"/>
    <w:rsid w:val="00F46E2A"/>
    <w:rsid w:val="00F476DC"/>
    <w:rsid w:val="00F51C93"/>
    <w:rsid w:val="00F616BB"/>
    <w:rsid w:val="00F81D4C"/>
    <w:rsid w:val="00F82EF3"/>
    <w:rsid w:val="00F96116"/>
    <w:rsid w:val="00FA22C1"/>
    <w:rsid w:val="00FB0452"/>
    <w:rsid w:val="00FB331E"/>
    <w:rsid w:val="00FB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2"/>
  </w:style>
  <w:style w:type="paragraph" w:styleId="1">
    <w:name w:val="heading 1"/>
    <w:basedOn w:val="a"/>
    <w:next w:val="a"/>
    <w:link w:val="10"/>
    <w:uiPriority w:val="9"/>
    <w:qFormat/>
    <w:rsid w:val="00B1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5552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C5552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7C5552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styleId="a4">
    <w:name w:val="Emphasis"/>
    <w:basedOn w:val="a0"/>
    <w:qFormat/>
    <w:rsid w:val="007C5552"/>
    <w:rPr>
      <w:i/>
      <w:iCs/>
    </w:rPr>
  </w:style>
  <w:style w:type="paragraph" w:styleId="a5">
    <w:name w:val="Subtitle"/>
    <w:basedOn w:val="a"/>
    <w:next w:val="a"/>
    <w:link w:val="a6"/>
    <w:qFormat/>
    <w:rsid w:val="007C5552"/>
    <w:pPr>
      <w:widowControl w:val="0"/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6">
    <w:name w:val="Подзаголовок Знак"/>
    <w:basedOn w:val="a0"/>
    <w:link w:val="a5"/>
    <w:rsid w:val="007C5552"/>
    <w:rPr>
      <w:rFonts w:ascii="Cambria" w:eastAsia="Times New Roman" w:hAnsi="Cambria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7C555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7C555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C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5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0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0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mbria" w:cs="Times New Roman"/>
      <w:color w:val="FFFF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0B28"/>
    <w:rPr>
      <w:rFonts w:ascii="Arial Unicode MS" w:eastAsia="Arial Unicode MS" w:hAnsi="Cambria" w:cs="Times New Roman"/>
      <w:color w:val="FFFF00"/>
      <w:sz w:val="20"/>
      <w:szCs w:val="20"/>
    </w:rPr>
  </w:style>
  <w:style w:type="table" w:styleId="ac">
    <w:name w:val="Table Grid"/>
    <w:basedOn w:val="a1"/>
    <w:uiPriority w:val="59"/>
    <w:rsid w:val="00C57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F81D4C"/>
    <w:rPr>
      <w:color w:val="0000FF"/>
      <w:u w:val="single"/>
    </w:rPr>
  </w:style>
  <w:style w:type="paragraph" w:styleId="ae">
    <w:name w:val="Body Text Indent"/>
    <w:basedOn w:val="a"/>
    <w:link w:val="af"/>
    <w:semiHidden/>
    <w:rsid w:val="00801829"/>
    <w:pPr>
      <w:spacing w:after="0" w:line="48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Основной текст с отступом Знак"/>
    <w:basedOn w:val="a0"/>
    <w:link w:val="ae"/>
    <w:semiHidden/>
    <w:rsid w:val="00801829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19-2000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4%20&#1082;&#1074;&#1072;&#1088;&#1090;&#1072;&#1083;\&#1075;&#1088;&#1072;&#1092;&#1110;&#108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4%20&#1082;&#1074;&#1072;&#1088;&#1090;&#1072;&#1083;\&#1075;&#1088;&#1072;&#1092;&#1110;&#108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4%20&#1082;&#1074;&#1072;&#1088;&#1090;&#1072;&#1083;\&#1075;&#1088;&#1072;&#1092;&#1110;&#108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2021%20&#1088;&#1110;&#1082;\&#1060;&#1030;&#1053;&#1040;&#1053;&#1057;&#1054;&#1042;&#1048;&#1049;%20&#1055;&#1051;&#1040;&#1053;,%20&#1050;&#1054;&#1064;&#1058;&#1054;&#1056;&#1048;&#1057;\&#1060;&#1110;&#1085;&#1072;&#1085;&#1089;&#1086;&#1074;&#1080;&#1081;%20&#1087;&#1083;&#1072;&#1085;\&#1047;&#1074;&#1110;&#1090;%20&#1079;&#1072;%202021%20&#1088;&#1110;&#1082;\&#1075;&#1088;&#1072;&#1092;&#111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Доходи за </a:t>
            </a:r>
            <a:r>
              <a:rPr lang="en-US" sz="1800" b="1" i="0" u="none" strike="noStrike" baseline="0"/>
              <a:t>IV</a:t>
            </a:r>
            <a:r>
              <a:rPr lang="ru-RU"/>
              <a:t> квартал 2021 рік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008225349784035E-2"/>
          <c:y val="0.24165621512879754"/>
          <c:w val="0.91370306073945451"/>
          <c:h val="0.734663586213402"/>
        </c:manualLayout>
      </c:layout>
      <c:pie3DChart>
        <c:varyColors val="1"/>
        <c:ser>
          <c:idx val="0"/>
          <c:order val="0"/>
          <c:explosion val="8"/>
          <c:dLbls>
            <c:dLbl>
              <c:idx val="0"/>
              <c:layout>
                <c:manualLayout>
                  <c:x val="-6.5672647500035194E-2"/>
                  <c:y val="-0.254811438043928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0311601124218831"/>
                  <c:y val="8.1453634085213014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31766960574316538"/>
                  <c:y val="3.3004558640696229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Лист1!$A$4:$A$6</c:f>
              <c:strCache>
                <c:ptCount val="3"/>
                <c:pt idx="0">
                  <c:v>Чистий дохід від реалізації продукції (товарів, робіт, послуг)</c:v>
                </c:pt>
                <c:pt idx="1">
                  <c:v>Інші операційні доходи</c:v>
                </c:pt>
                <c:pt idx="2">
                  <c:v>Інші доходи</c:v>
                </c:pt>
              </c:strCache>
            </c:strRef>
          </c:cat>
          <c:val>
            <c:numRef>
              <c:f>Лист1!$F$4:$F$6</c:f>
              <c:numCache>
                <c:formatCode>#,##0</c:formatCode>
                <c:ptCount val="3"/>
                <c:pt idx="0">
                  <c:v>9742</c:v>
                </c:pt>
                <c:pt idx="1">
                  <c:v>1009</c:v>
                </c:pt>
                <c:pt idx="2" formatCode="General">
                  <c:v>509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Витрати за</a:t>
            </a:r>
            <a:r>
              <a:rPr lang="en-US"/>
              <a:t> </a:t>
            </a:r>
            <a:r>
              <a:rPr lang="en-US" sz="1800" b="1" i="0" u="none" strike="noStrike" baseline="0"/>
              <a:t>IV </a:t>
            </a:r>
            <a:r>
              <a:rPr lang="ru-RU"/>
              <a:t>квартал на 2021 рік</a:t>
            </a:r>
          </a:p>
        </c:rich>
      </c:tx>
      <c:layout>
        <c:manualLayout>
          <c:xMode val="edge"/>
          <c:yMode val="edge"/>
          <c:x val="5.8740305627365715E-2"/>
          <c:y val="3.273504621222494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456796975268237E-2"/>
          <c:y val="0.280657886604052"/>
          <c:w val="0.78813648293963257"/>
          <c:h val="0.71738589129510089"/>
        </c:manualLayout>
      </c:layout>
      <c:pie3DChart>
        <c:varyColors val="1"/>
        <c:ser>
          <c:idx val="0"/>
          <c:order val="0"/>
          <c:explosion val="3"/>
          <c:dLbls>
            <c:dLbl>
              <c:idx val="0"/>
              <c:layout>
                <c:manualLayout>
                  <c:x val="-0.17933719063691617"/>
                  <c:y val="-0.220071064055682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Собівартість реалізованої продукції (товарів, робіт, </a:t>
                    </a:r>
                  </a:p>
                  <a:p>
                    <a:r>
                      <a:rPr lang="ru-RU"/>
                      <a:t>послуг)
83%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4.6864574148270839E-3"/>
                  <c:y val="-5.523517579787454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9.9986056550482899E-2"/>
                  <c:y val="5.19725731957923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Лист1!$A$14:$A$16</c:f>
              <c:strCache>
                <c:ptCount val="3"/>
                <c:pt idx="0">
                  <c:v>Собівартість реалізованої продукції (товарів, робіт, послуг)</c:v>
                </c:pt>
                <c:pt idx="1">
                  <c:v>Адміністративні витрати</c:v>
                </c:pt>
                <c:pt idx="2">
                  <c:v>Інші операційні витрати</c:v>
                </c:pt>
              </c:strCache>
            </c:strRef>
          </c:cat>
          <c:val>
            <c:numRef>
              <c:f>Лист1!$F$14:$F$16</c:f>
              <c:numCache>
                <c:formatCode>#,##0</c:formatCode>
                <c:ptCount val="3"/>
                <c:pt idx="0">
                  <c:v>10066</c:v>
                </c:pt>
                <c:pt idx="1">
                  <c:v>1134</c:v>
                </c:pt>
                <c:pt idx="2">
                  <c:v>1009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Елементи операційних витрат за </a:t>
            </a:r>
            <a:r>
              <a:rPr lang="en-US"/>
              <a:t>IV</a:t>
            </a:r>
            <a:r>
              <a:rPr lang="ru-RU"/>
              <a:t> квартал</a:t>
            </a:r>
            <a:r>
              <a:rPr lang="ru-RU" baseline="0"/>
              <a:t> 2021</a:t>
            </a:r>
            <a:endParaRPr lang="ru-RU"/>
          </a:p>
        </c:rich>
      </c:tx>
      <c:layout>
        <c:manualLayout>
          <c:xMode val="edge"/>
          <c:yMode val="edge"/>
          <c:x val="0.1849640712719129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4868124361167197E-3"/>
          <c:y val="0.28399425992430832"/>
          <c:w val="0.93228161548299615"/>
          <c:h val="0.71510874171889982"/>
        </c:manualLayout>
      </c:layout>
      <c:pie3DChart>
        <c:varyColors val="1"/>
        <c:ser>
          <c:idx val="0"/>
          <c:order val="0"/>
          <c:explosion val="4"/>
          <c:dLbls>
            <c:dLbl>
              <c:idx val="0"/>
              <c:layout>
                <c:manualLayout>
                  <c:x val="0.13273957193706951"/>
                  <c:y val="4.2492929381057365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9294923514458372E-2"/>
                  <c:y val="-9.68264238958695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5503310373735061"/>
                  <c:y val="-0.24655661725979985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3.1161617263216136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0.10477217745042167"/>
                  <c:y val="-8.0406278855032348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1.3329840619237716E-3"/>
                  <c:y val="-9.057371983626699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Лист1!$A$34:$A$39</c:f>
              <c:strCache>
                <c:ptCount val="6"/>
                <c:pt idx="0">
                  <c:v>витрати на сировину та основні матеріали</c:v>
                </c:pt>
                <c:pt idx="1">
                  <c:v>витрати на паливо та енергію</c:v>
                </c:pt>
                <c:pt idx="2">
                  <c:v>Витрати на оплату праці</c:v>
                </c:pt>
                <c:pt idx="3">
                  <c:v>Відрахування на соціальні заходи</c:v>
                </c:pt>
                <c:pt idx="4">
                  <c:v>Амортизація</c:v>
                </c:pt>
                <c:pt idx="5">
                  <c:v>Інші операційні витрати</c:v>
                </c:pt>
              </c:strCache>
            </c:strRef>
          </c:cat>
          <c:val>
            <c:numRef>
              <c:f>Лист1!$E$34:$E$39</c:f>
              <c:numCache>
                <c:formatCode>#,##0</c:formatCode>
                <c:ptCount val="6"/>
                <c:pt idx="0">
                  <c:v>2558</c:v>
                </c:pt>
                <c:pt idx="1">
                  <c:v>1467</c:v>
                </c:pt>
                <c:pt idx="2">
                  <c:v>5860</c:v>
                </c:pt>
                <c:pt idx="3">
                  <c:v>1287</c:v>
                </c:pt>
                <c:pt idx="4" formatCode="General">
                  <c:v>578</c:v>
                </c:pt>
                <c:pt idx="5" formatCode="General">
                  <c:v>458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Штатна чисельність на 01.01 2022 рік</a:t>
            </a:r>
          </a:p>
        </c:rich>
      </c:tx>
      <c:layout>
        <c:manualLayout>
          <c:xMode val="edge"/>
          <c:yMode val="edge"/>
          <c:x val="0.12369826156667674"/>
          <c:y val="2.9112215863882017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055555555555561E-2"/>
          <c:y val="0.15990303295421496"/>
          <c:w val="0.98194438643687565"/>
          <c:h val="0.84009696386204957"/>
        </c:manualLayout>
      </c:layout>
      <c:pie3DChart>
        <c:varyColors val="1"/>
        <c:ser>
          <c:idx val="0"/>
          <c:order val="0"/>
          <c:explosion val="3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Лист1!$A$22:$A$26</c:f>
              <c:strCache>
                <c:ptCount val="5"/>
                <c:pt idx="0">
                  <c:v>Лікарі </c:v>
                </c:pt>
                <c:pt idx="1">
                  <c:v>Середній медичний персонал</c:v>
                </c:pt>
                <c:pt idx="2">
                  <c:v>Молодший медичний персонал</c:v>
                </c:pt>
                <c:pt idx="3">
                  <c:v>Спеціалісти не медики</c:v>
                </c:pt>
                <c:pt idx="4">
                  <c:v>  Інший персонал</c:v>
                </c:pt>
              </c:strCache>
            </c:strRef>
          </c:cat>
          <c:val>
            <c:numRef>
              <c:f>Лист1!$B$22:$B$26</c:f>
              <c:numCache>
                <c:formatCode>General</c:formatCode>
                <c:ptCount val="5"/>
                <c:pt idx="0">
                  <c:v>54.75</c:v>
                </c:pt>
                <c:pt idx="1">
                  <c:v>85.75</c:v>
                </c:pt>
                <c:pt idx="2">
                  <c:v>47.75</c:v>
                </c:pt>
                <c:pt idx="3">
                  <c:v>17.75</c:v>
                </c:pt>
                <c:pt idx="4">
                  <c:v>24.5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E34D-8C34-4060-86DF-6C24320F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2022-02-21T06:08:00Z</cp:lastPrinted>
  <dcterms:created xsi:type="dcterms:W3CDTF">2021-03-19T09:18:00Z</dcterms:created>
  <dcterms:modified xsi:type="dcterms:W3CDTF">2022-02-22T10:49:00Z</dcterms:modified>
</cp:coreProperties>
</file>